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24C8D" w14:textId="77777777" w:rsidR="000A6DFA" w:rsidRDefault="000A6DFA" w:rsidP="000A6DFA">
      <w:pPr>
        <w:pStyle w:val="Heading2"/>
        <w:shd w:val="clear" w:color="auto" w:fill="FFFFFF"/>
        <w:rPr>
          <w:color w:val="333333"/>
          <w:lang w:val="en"/>
        </w:rPr>
      </w:pPr>
      <w:r>
        <w:rPr>
          <w:color w:val="333333"/>
          <w:lang w:val="en"/>
        </w:rPr>
        <w:t xml:space="preserve">For an Economic Boycott and Political </w:t>
      </w:r>
      <w:proofErr w:type="spellStart"/>
      <w:r>
        <w:rPr>
          <w:color w:val="333333"/>
          <w:lang w:val="en"/>
        </w:rPr>
        <w:t>Nonrecognition</w:t>
      </w:r>
      <w:proofErr w:type="spellEnd"/>
      <w:r>
        <w:rPr>
          <w:color w:val="333333"/>
          <w:lang w:val="en"/>
        </w:rPr>
        <w:t xml:space="preserve"> of the Israeli Settlements in the Occupied Territories</w:t>
      </w:r>
    </w:p>
    <w:p w14:paraId="0B9F9305" w14:textId="77777777" w:rsidR="000A6DFA" w:rsidRDefault="000A6DFA" w:rsidP="000A6DFA">
      <w:pPr>
        <w:shd w:val="clear" w:color="auto" w:fill="FFFFFF"/>
        <w:spacing w:line="336" w:lineRule="atLeast"/>
        <w:rPr>
          <w:color w:val="333333"/>
          <w:sz w:val="26"/>
          <w:szCs w:val="26"/>
          <w:lang w:val="en"/>
        </w:rPr>
      </w:pPr>
      <w:hyperlink r:id="rId5" w:history="1">
        <w:r>
          <w:rPr>
            <w:rStyle w:val="Hyperlink"/>
            <w:sz w:val="26"/>
            <w:szCs w:val="26"/>
            <w:lang w:val="en"/>
          </w:rPr>
          <w:t>David Abraham</w:t>
        </w:r>
      </w:hyperlink>
      <w:r>
        <w:rPr>
          <w:color w:val="333333"/>
          <w:sz w:val="26"/>
          <w:szCs w:val="26"/>
          <w:lang w:val="en"/>
        </w:rPr>
        <w:t xml:space="preserve">, </w:t>
      </w:r>
      <w:hyperlink r:id="rId6" w:history="1">
        <w:r>
          <w:rPr>
            <w:rStyle w:val="Hyperlink"/>
            <w:sz w:val="26"/>
            <w:szCs w:val="26"/>
            <w:lang w:val="en"/>
          </w:rPr>
          <w:t>Edward Witten</w:t>
        </w:r>
      </w:hyperlink>
      <w:r>
        <w:rPr>
          <w:color w:val="333333"/>
          <w:sz w:val="26"/>
          <w:szCs w:val="26"/>
          <w:lang w:val="en"/>
        </w:rPr>
        <w:t xml:space="preserve">, </w:t>
      </w:r>
      <w:hyperlink r:id="rId7" w:history="1">
        <w:r>
          <w:rPr>
            <w:rStyle w:val="Hyperlink"/>
            <w:sz w:val="26"/>
            <w:szCs w:val="26"/>
            <w:lang w:val="en"/>
          </w:rPr>
          <w:t>Kai Bird</w:t>
        </w:r>
      </w:hyperlink>
      <w:r>
        <w:rPr>
          <w:color w:val="333333"/>
          <w:sz w:val="26"/>
          <w:szCs w:val="26"/>
          <w:lang w:val="en"/>
        </w:rPr>
        <w:t xml:space="preserve">, </w:t>
      </w:r>
      <w:hyperlink r:id="rId8" w:history="1">
        <w:r>
          <w:rPr>
            <w:rStyle w:val="Hyperlink"/>
            <w:sz w:val="26"/>
            <w:szCs w:val="26"/>
            <w:lang w:val="en"/>
          </w:rPr>
          <w:t xml:space="preserve">Michael </w:t>
        </w:r>
        <w:proofErr w:type="spellStart"/>
        <w:r>
          <w:rPr>
            <w:rStyle w:val="Hyperlink"/>
            <w:sz w:val="26"/>
            <w:szCs w:val="26"/>
            <w:lang w:val="en"/>
          </w:rPr>
          <w:t>Walzer</w:t>
        </w:r>
        <w:proofErr w:type="spellEnd"/>
      </w:hyperlink>
      <w:r>
        <w:rPr>
          <w:color w:val="333333"/>
          <w:sz w:val="26"/>
          <w:szCs w:val="26"/>
          <w:lang w:val="en"/>
        </w:rPr>
        <w:t xml:space="preserve">, and </w:t>
      </w:r>
      <w:hyperlink r:id="rId9" w:history="1">
        <w:r>
          <w:rPr>
            <w:rStyle w:val="Hyperlink"/>
            <w:sz w:val="26"/>
            <w:szCs w:val="26"/>
            <w:lang w:val="en"/>
          </w:rPr>
          <w:t xml:space="preserve">Peter </w:t>
        </w:r>
        <w:proofErr w:type="spellStart"/>
        <w:r>
          <w:rPr>
            <w:rStyle w:val="Hyperlink"/>
            <w:sz w:val="26"/>
            <w:szCs w:val="26"/>
            <w:lang w:val="en"/>
          </w:rPr>
          <w:t>Beinart</w:t>
        </w:r>
        <w:proofErr w:type="spellEnd"/>
      </w:hyperlink>
      <w:r>
        <w:rPr>
          <w:color w:val="333333"/>
          <w:sz w:val="26"/>
          <w:szCs w:val="26"/>
          <w:lang w:val="en"/>
        </w:rPr>
        <w:t xml:space="preserve">, et al. </w:t>
      </w:r>
    </w:p>
    <w:p w14:paraId="03D7D979" w14:textId="77777777" w:rsidR="000A6DFA" w:rsidRDefault="000A6DFA" w:rsidP="000A6DFA">
      <w:pPr>
        <w:shd w:val="clear" w:color="auto" w:fill="FFFFFF"/>
        <w:spacing w:line="336" w:lineRule="atLeast"/>
        <w:rPr>
          <w:color w:val="333333"/>
          <w:sz w:val="26"/>
          <w:szCs w:val="26"/>
          <w:lang w:val="en"/>
        </w:rPr>
      </w:pPr>
      <w:hyperlink r:id="rId10" w:history="1">
        <w:r>
          <w:rPr>
            <w:rStyle w:val="Hyperlink"/>
            <w:sz w:val="26"/>
            <w:szCs w:val="26"/>
            <w:lang w:val="en"/>
          </w:rPr>
          <w:t>October 13, 2016 Issue</w:t>
        </w:r>
      </w:hyperlink>
      <w:r>
        <w:rPr>
          <w:color w:val="333333"/>
          <w:sz w:val="26"/>
          <w:szCs w:val="26"/>
          <w:lang w:val="en"/>
        </w:rPr>
        <w:t xml:space="preserve"> </w:t>
      </w:r>
    </w:p>
    <w:p w14:paraId="0ABEA258" w14:textId="77777777" w:rsidR="000A6DFA" w:rsidRDefault="000A6DFA" w:rsidP="000A6DFA">
      <w:hyperlink r:id="rId11" w:history="1">
        <w:r w:rsidRPr="000A2CE3">
          <w:rPr>
            <w:rStyle w:val="Hyperlink"/>
          </w:rPr>
          <w:t>http://www.nybooks.com/articles/2016/10/13/economic-boycott-israeli-settlements/</w:t>
        </w:r>
      </w:hyperlink>
    </w:p>
    <w:p w14:paraId="4E66C3F6" w14:textId="77777777" w:rsidR="000A6DFA" w:rsidRDefault="000A6DFA" w:rsidP="000A6DFA">
      <w:pPr>
        <w:shd w:val="clear" w:color="auto" w:fill="FFFFFF"/>
        <w:spacing w:line="336" w:lineRule="atLeast"/>
        <w:rPr>
          <w:color w:val="333333"/>
          <w:sz w:val="26"/>
          <w:szCs w:val="26"/>
          <w:lang w:val="en"/>
        </w:rPr>
      </w:pPr>
      <w:bookmarkStart w:id="0" w:name="_GoBack"/>
      <w:bookmarkEnd w:id="0"/>
    </w:p>
    <w:p w14:paraId="5778A4D5" w14:textId="77777777" w:rsidR="000A6DFA" w:rsidRDefault="000A6DFA" w:rsidP="000A6DFA">
      <w:pPr>
        <w:pStyle w:val="NormalWeb"/>
        <w:shd w:val="clear" w:color="auto" w:fill="FFFFFF"/>
        <w:spacing w:line="336" w:lineRule="atLeast"/>
        <w:rPr>
          <w:color w:val="333333"/>
          <w:sz w:val="26"/>
          <w:szCs w:val="26"/>
          <w:lang w:val="en"/>
        </w:rPr>
      </w:pPr>
      <w:r>
        <w:rPr>
          <w:i/>
          <w:iCs/>
          <w:color w:val="333333"/>
          <w:sz w:val="26"/>
          <w:szCs w:val="26"/>
          <w:lang w:val="en"/>
        </w:rPr>
        <w:t>To the Editors</w:t>
      </w:r>
      <w:r>
        <w:rPr>
          <w:color w:val="333333"/>
          <w:sz w:val="26"/>
          <w:szCs w:val="26"/>
          <w:lang w:val="en"/>
        </w:rPr>
        <w:t>:</w:t>
      </w:r>
    </w:p>
    <w:p w14:paraId="4A5871DE" w14:textId="77777777" w:rsidR="000A6DFA" w:rsidRDefault="000A6DFA" w:rsidP="000A6DFA">
      <w:pPr>
        <w:pStyle w:val="NormalWeb"/>
        <w:shd w:val="clear" w:color="auto" w:fill="FFFFFF"/>
        <w:spacing w:line="336" w:lineRule="atLeast"/>
        <w:rPr>
          <w:color w:val="333333"/>
          <w:sz w:val="26"/>
          <w:szCs w:val="26"/>
          <w:lang w:val="en"/>
        </w:rPr>
      </w:pPr>
      <w:r>
        <w:rPr>
          <w:color w:val="333333"/>
          <w:sz w:val="26"/>
          <w:szCs w:val="26"/>
          <w:lang w:val="en"/>
        </w:rPr>
        <w:t>We, the undersigned, oppose an economic, political, or cultural boycott of Israel itself as defined by its June 4, 1967, borders. We believe that this so-called Green Line, as defined by the 1949 armistice, should be the starting point for negotiations between the Israeli and Palestinian parties on future boundaries between two states. To promote such negotiations, we call for a targeted boycott of all goods and services from all Israeli settlements in the Occupied Territories, and any investments that promote the Occupation, until such time as a peace settlement is negotiated between the Israeli government and the Palestinian Authority.</w:t>
      </w:r>
    </w:p>
    <w:p w14:paraId="3E154078" w14:textId="77777777" w:rsidR="000A6DFA" w:rsidRDefault="000A6DFA" w:rsidP="000A6DFA">
      <w:pPr>
        <w:pStyle w:val="NormalWeb"/>
        <w:shd w:val="clear" w:color="auto" w:fill="FFFFFF"/>
        <w:spacing w:line="336" w:lineRule="atLeast"/>
        <w:rPr>
          <w:color w:val="333333"/>
          <w:sz w:val="26"/>
          <w:szCs w:val="26"/>
          <w:lang w:val="en"/>
        </w:rPr>
      </w:pPr>
      <w:r>
        <w:rPr>
          <w:color w:val="333333"/>
          <w:sz w:val="26"/>
          <w:szCs w:val="26"/>
          <w:lang w:val="en"/>
        </w:rPr>
        <w:t>We further call upon the US government to exclude settlements from trade benefits accorded to Israeli enterprises, and to strip all such Israeli entities in the West Bank from the tax exemptions that the Internal Revenue Service currently grants to American nonprofit tax-exempt organizations. The objects of our call are all commercial and residential Israeli-sponsored entities located outside the 1949 Green Line. It is our hope that targeted boycotts and changes in American policy, limited to the Israeli settlements in the Occupied Territories, will encourage all parties to negotiate a two-state solution to this long-standing conflict.</w:t>
      </w:r>
    </w:p>
    <w:p w14:paraId="505707DF" w14:textId="77777777" w:rsidR="000A6DFA" w:rsidRDefault="000A6DFA" w:rsidP="000A6DFA">
      <w:pPr>
        <w:pStyle w:val="NormalWeb"/>
        <w:shd w:val="clear" w:color="auto" w:fill="FFFFFF"/>
        <w:spacing w:line="336" w:lineRule="atLeast"/>
        <w:rPr>
          <w:color w:val="333333"/>
          <w:sz w:val="26"/>
          <w:szCs w:val="26"/>
          <w:lang w:val="en"/>
        </w:rPr>
      </w:pPr>
      <w:r>
        <w:rPr>
          <w:b/>
          <w:bCs/>
          <w:color w:val="333333"/>
          <w:sz w:val="26"/>
          <w:szCs w:val="26"/>
          <w:lang w:val="en"/>
        </w:rPr>
        <w:t>David Abraham</w:t>
      </w:r>
      <w:r>
        <w:rPr>
          <w:b/>
          <w:bCs/>
          <w:color w:val="333333"/>
          <w:sz w:val="26"/>
          <w:szCs w:val="26"/>
          <w:lang w:val="en"/>
        </w:rPr>
        <w:br/>
        <w:t>Kai Bird</w:t>
      </w:r>
      <w:r>
        <w:rPr>
          <w:b/>
          <w:bCs/>
          <w:color w:val="333333"/>
          <w:sz w:val="26"/>
          <w:szCs w:val="26"/>
          <w:lang w:val="en"/>
        </w:rPr>
        <w:br/>
        <w:t xml:space="preserve">Todd </w:t>
      </w:r>
      <w:proofErr w:type="spellStart"/>
      <w:r>
        <w:rPr>
          <w:b/>
          <w:bCs/>
          <w:color w:val="333333"/>
          <w:sz w:val="26"/>
          <w:szCs w:val="26"/>
          <w:lang w:val="en"/>
        </w:rPr>
        <w:t>Gitlin</w:t>
      </w:r>
      <w:proofErr w:type="spellEnd"/>
      <w:r>
        <w:rPr>
          <w:b/>
          <w:bCs/>
          <w:color w:val="333333"/>
          <w:sz w:val="26"/>
          <w:szCs w:val="26"/>
          <w:lang w:val="en"/>
        </w:rPr>
        <w:br/>
        <w:t xml:space="preserve">Bernard </w:t>
      </w:r>
      <w:proofErr w:type="spellStart"/>
      <w:r>
        <w:rPr>
          <w:b/>
          <w:bCs/>
          <w:color w:val="333333"/>
          <w:sz w:val="26"/>
          <w:szCs w:val="26"/>
          <w:lang w:val="en"/>
        </w:rPr>
        <w:t>Avishai</w:t>
      </w:r>
      <w:proofErr w:type="spellEnd"/>
      <w:r>
        <w:rPr>
          <w:b/>
          <w:bCs/>
          <w:color w:val="333333"/>
          <w:sz w:val="26"/>
          <w:szCs w:val="26"/>
          <w:lang w:val="en"/>
        </w:rPr>
        <w:br/>
        <w:t xml:space="preserve">Peter </w:t>
      </w:r>
      <w:proofErr w:type="spellStart"/>
      <w:r>
        <w:rPr>
          <w:b/>
          <w:bCs/>
          <w:color w:val="333333"/>
          <w:sz w:val="26"/>
          <w:szCs w:val="26"/>
          <w:lang w:val="en"/>
        </w:rPr>
        <w:t>Beinart</w:t>
      </w:r>
      <w:proofErr w:type="spellEnd"/>
      <w:r>
        <w:rPr>
          <w:b/>
          <w:bCs/>
          <w:color w:val="333333"/>
          <w:sz w:val="26"/>
          <w:szCs w:val="26"/>
          <w:lang w:val="en"/>
        </w:rPr>
        <w:br/>
        <w:t>Peter Brooks</w:t>
      </w:r>
      <w:r>
        <w:rPr>
          <w:b/>
          <w:bCs/>
          <w:color w:val="333333"/>
          <w:sz w:val="26"/>
          <w:szCs w:val="26"/>
          <w:lang w:val="en"/>
        </w:rPr>
        <w:br/>
        <w:t xml:space="preserve">Adam </w:t>
      </w:r>
      <w:proofErr w:type="spellStart"/>
      <w:r>
        <w:rPr>
          <w:b/>
          <w:bCs/>
          <w:color w:val="333333"/>
          <w:sz w:val="26"/>
          <w:szCs w:val="26"/>
          <w:lang w:val="en"/>
        </w:rPr>
        <w:t>Hochschild</w:t>
      </w:r>
      <w:proofErr w:type="spellEnd"/>
      <w:r>
        <w:rPr>
          <w:b/>
          <w:bCs/>
          <w:color w:val="333333"/>
          <w:sz w:val="26"/>
          <w:szCs w:val="26"/>
          <w:lang w:val="en"/>
        </w:rPr>
        <w:br/>
        <w:t xml:space="preserve">Arlie </w:t>
      </w:r>
      <w:proofErr w:type="spellStart"/>
      <w:r>
        <w:rPr>
          <w:b/>
          <w:bCs/>
          <w:color w:val="333333"/>
          <w:sz w:val="26"/>
          <w:szCs w:val="26"/>
          <w:lang w:val="en"/>
        </w:rPr>
        <w:t>Hochschild</w:t>
      </w:r>
      <w:proofErr w:type="spellEnd"/>
      <w:r>
        <w:rPr>
          <w:b/>
          <w:bCs/>
          <w:color w:val="333333"/>
          <w:sz w:val="26"/>
          <w:szCs w:val="26"/>
          <w:lang w:val="en"/>
        </w:rPr>
        <w:br/>
      </w:r>
      <w:r>
        <w:rPr>
          <w:b/>
          <w:bCs/>
          <w:color w:val="333333"/>
          <w:sz w:val="26"/>
          <w:szCs w:val="26"/>
          <w:lang w:val="en"/>
        </w:rPr>
        <w:lastRenderedPageBreak/>
        <w:t xml:space="preserve">Michael </w:t>
      </w:r>
      <w:proofErr w:type="spellStart"/>
      <w:r>
        <w:rPr>
          <w:b/>
          <w:bCs/>
          <w:color w:val="333333"/>
          <w:sz w:val="26"/>
          <w:szCs w:val="26"/>
          <w:lang w:val="en"/>
        </w:rPr>
        <w:t>Kazin</w:t>
      </w:r>
      <w:proofErr w:type="spellEnd"/>
      <w:r>
        <w:rPr>
          <w:b/>
          <w:bCs/>
          <w:color w:val="333333"/>
          <w:sz w:val="26"/>
          <w:szCs w:val="26"/>
          <w:lang w:val="en"/>
        </w:rPr>
        <w:br/>
        <w:t>Deborah Meier</w:t>
      </w:r>
      <w:r>
        <w:rPr>
          <w:b/>
          <w:bCs/>
          <w:color w:val="333333"/>
          <w:sz w:val="26"/>
          <w:szCs w:val="26"/>
          <w:lang w:val="en"/>
        </w:rPr>
        <w:br/>
        <w:t>Deborah Dash Moore</w:t>
      </w:r>
      <w:r>
        <w:rPr>
          <w:b/>
          <w:bCs/>
          <w:color w:val="333333"/>
          <w:sz w:val="26"/>
          <w:szCs w:val="26"/>
          <w:lang w:val="en"/>
        </w:rPr>
        <w:br/>
        <w:t>Martin J. Sherwin</w:t>
      </w:r>
      <w:r>
        <w:rPr>
          <w:b/>
          <w:bCs/>
          <w:color w:val="333333"/>
          <w:sz w:val="26"/>
          <w:szCs w:val="26"/>
          <w:lang w:val="en"/>
        </w:rPr>
        <w:br/>
        <w:t xml:space="preserve">Michael </w:t>
      </w:r>
      <w:proofErr w:type="spellStart"/>
      <w:r>
        <w:rPr>
          <w:b/>
          <w:bCs/>
          <w:color w:val="333333"/>
          <w:sz w:val="26"/>
          <w:szCs w:val="26"/>
          <w:lang w:val="en"/>
        </w:rPr>
        <w:t>Walzer</w:t>
      </w:r>
      <w:proofErr w:type="spellEnd"/>
      <w:r>
        <w:rPr>
          <w:b/>
          <w:bCs/>
          <w:color w:val="333333"/>
          <w:sz w:val="26"/>
          <w:szCs w:val="26"/>
          <w:lang w:val="en"/>
        </w:rPr>
        <w:br/>
        <w:t>Edward Witten</w:t>
      </w:r>
      <w:r>
        <w:rPr>
          <w:b/>
          <w:bCs/>
          <w:color w:val="333333"/>
          <w:sz w:val="26"/>
          <w:szCs w:val="26"/>
          <w:lang w:val="en"/>
        </w:rPr>
        <w:br/>
        <w:t>and seventy others</w:t>
      </w:r>
    </w:p>
    <w:p w14:paraId="35D5CC68" w14:textId="77777777" w:rsidR="000A6DFA" w:rsidRDefault="000A6DFA" w:rsidP="000A6DFA">
      <w:pPr>
        <w:pStyle w:val="NormalWeb"/>
        <w:shd w:val="clear" w:color="auto" w:fill="FFFFFF"/>
        <w:spacing w:line="336" w:lineRule="atLeast"/>
        <w:rPr>
          <w:color w:val="333333"/>
          <w:sz w:val="26"/>
          <w:szCs w:val="26"/>
          <w:lang w:val="en"/>
        </w:rPr>
      </w:pPr>
      <w:r>
        <w:rPr>
          <w:rStyle w:val="Emphasis"/>
          <w:color w:val="333333"/>
          <w:sz w:val="26"/>
          <w:szCs w:val="26"/>
          <w:lang w:val="en"/>
        </w:rPr>
        <w:t>To sign this letter, e-mail stopsettlements2016@gmail.com.</w:t>
      </w:r>
    </w:p>
    <w:p w14:paraId="660F75D0" w14:textId="77777777" w:rsidR="000A6DFA" w:rsidRDefault="000A6DFA" w:rsidP="000A6DFA">
      <w:pPr>
        <w:pStyle w:val="Heading5"/>
        <w:shd w:val="clear" w:color="auto" w:fill="FFFFFF"/>
        <w:rPr>
          <w:color w:val="333333"/>
          <w:lang w:val="en"/>
        </w:rPr>
      </w:pPr>
      <w:r>
        <w:rPr>
          <w:color w:val="333333"/>
          <w:lang w:val="en"/>
        </w:rPr>
        <w:t>Letters</w:t>
      </w:r>
    </w:p>
    <w:p w14:paraId="7A27AA10" w14:textId="77777777" w:rsidR="000A6DFA" w:rsidRDefault="000A6DFA" w:rsidP="000A6DFA">
      <w:pPr>
        <w:pStyle w:val="NormalWeb"/>
        <w:shd w:val="clear" w:color="auto" w:fill="FFFFFF"/>
        <w:spacing w:line="336" w:lineRule="atLeast"/>
        <w:rPr>
          <w:color w:val="333333"/>
          <w:sz w:val="26"/>
          <w:szCs w:val="26"/>
          <w:lang w:val="en"/>
        </w:rPr>
      </w:pPr>
      <w:hyperlink r:id="rId12" w:history="1">
        <w:r>
          <w:rPr>
            <w:rStyle w:val="Hyperlink"/>
            <w:i/>
            <w:iCs/>
            <w:sz w:val="26"/>
            <w:szCs w:val="26"/>
            <w:lang w:val="en"/>
          </w:rPr>
          <w:t>On the Boycott of Israeli Settlements</w:t>
        </w:r>
      </w:hyperlink>
      <w:r>
        <w:rPr>
          <w:color w:val="333333"/>
          <w:sz w:val="26"/>
          <w:szCs w:val="26"/>
          <w:lang w:val="en"/>
        </w:rPr>
        <w:t xml:space="preserve"> October 20, 2016</w:t>
      </w:r>
    </w:p>
    <w:p w14:paraId="5EB43187" w14:textId="77777777" w:rsidR="002711F6" w:rsidRDefault="000A6DFA"/>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CAD"/>
    <w:multiLevelType w:val="multilevel"/>
    <w:tmpl w:val="80D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94C6D"/>
    <w:multiLevelType w:val="multilevel"/>
    <w:tmpl w:val="5D92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FA"/>
    <w:rsid w:val="000A6DF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6AE7"/>
  <w15:chartTrackingRefBased/>
  <w15:docId w15:val="{F009F308-C1EB-4A73-B5EC-DD9450A2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FA"/>
  </w:style>
  <w:style w:type="paragraph" w:styleId="Heading2">
    <w:name w:val="heading 2"/>
    <w:basedOn w:val="Normal"/>
    <w:link w:val="Heading2Char"/>
    <w:uiPriority w:val="9"/>
    <w:qFormat/>
    <w:rsid w:val="000A6DFA"/>
    <w:pPr>
      <w:spacing w:before="150" w:after="150" w:line="600" w:lineRule="atLeast"/>
      <w:outlineLvl w:val="1"/>
    </w:pPr>
    <w:rPr>
      <w:rFonts w:ascii="inherit" w:eastAsia="Times New Roman" w:hAnsi="inherit" w:cs="Times New Roman"/>
      <w:b/>
      <w:bCs/>
      <w:sz w:val="47"/>
      <w:szCs w:val="47"/>
    </w:rPr>
  </w:style>
  <w:style w:type="paragraph" w:styleId="Heading4">
    <w:name w:val="heading 4"/>
    <w:basedOn w:val="Normal"/>
    <w:link w:val="Heading4Char"/>
    <w:uiPriority w:val="9"/>
    <w:qFormat/>
    <w:rsid w:val="000A6DFA"/>
    <w:pPr>
      <w:spacing w:before="150" w:after="150" w:line="300" w:lineRule="atLeast"/>
      <w:outlineLvl w:val="3"/>
    </w:pPr>
    <w:rPr>
      <w:rFonts w:ascii="inherit" w:eastAsia="Times New Roman" w:hAnsi="inherit" w:cs="Times New Roman"/>
      <w:b/>
      <w:bCs/>
      <w:sz w:val="26"/>
      <w:szCs w:val="26"/>
    </w:rPr>
  </w:style>
  <w:style w:type="paragraph" w:styleId="Heading5">
    <w:name w:val="heading 5"/>
    <w:basedOn w:val="Normal"/>
    <w:link w:val="Heading5Char"/>
    <w:uiPriority w:val="9"/>
    <w:qFormat/>
    <w:rsid w:val="000A6DFA"/>
    <w:pPr>
      <w:spacing w:before="150" w:after="150" w:line="300" w:lineRule="atLeast"/>
      <w:outlineLvl w:val="4"/>
    </w:pPr>
    <w:rPr>
      <w:rFonts w:ascii="inherit" w:eastAsia="Times New Roman" w:hAnsi="inherit"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DFA"/>
    <w:rPr>
      <w:color w:val="0563C1" w:themeColor="hyperlink"/>
      <w:u w:val="single"/>
    </w:rPr>
  </w:style>
  <w:style w:type="character" w:customStyle="1" w:styleId="Heading2Char">
    <w:name w:val="Heading 2 Char"/>
    <w:basedOn w:val="DefaultParagraphFont"/>
    <w:link w:val="Heading2"/>
    <w:uiPriority w:val="9"/>
    <w:rsid w:val="000A6DFA"/>
    <w:rPr>
      <w:rFonts w:ascii="inherit" w:eastAsia="Times New Roman" w:hAnsi="inherit" w:cs="Times New Roman"/>
      <w:b/>
      <w:bCs/>
      <w:sz w:val="47"/>
      <w:szCs w:val="47"/>
    </w:rPr>
  </w:style>
  <w:style w:type="character" w:customStyle="1" w:styleId="Heading4Char">
    <w:name w:val="Heading 4 Char"/>
    <w:basedOn w:val="DefaultParagraphFont"/>
    <w:link w:val="Heading4"/>
    <w:uiPriority w:val="9"/>
    <w:rsid w:val="000A6DFA"/>
    <w:rPr>
      <w:rFonts w:ascii="inherit" w:eastAsia="Times New Roman" w:hAnsi="inherit" w:cs="Times New Roman"/>
      <w:b/>
      <w:bCs/>
      <w:sz w:val="26"/>
      <w:szCs w:val="26"/>
    </w:rPr>
  </w:style>
  <w:style w:type="character" w:customStyle="1" w:styleId="Heading5Char">
    <w:name w:val="Heading 5 Char"/>
    <w:basedOn w:val="DefaultParagraphFont"/>
    <w:link w:val="Heading5"/>
    <w:uiPriority w:val="9"/>
    <w:rsid w:val="000A6DFA"/>
    <w:rPr>
      <w:rFonts w:ascii="inherit" w:eastAsia="Times New Roman" w:hAnsi="inherit" w:cs="Times New Roman"/>
      <w:b/>
      <w:bCs/>
      <w:sz w:val="21"/>
      <w:szCs w:val="21"/>
    </w:rPr>
  </w:style>
  <w:style w:type="character" w:styleId="Emphasis">
    <w:name w:val="Emphasis"/>
    <w:basedOn w:val="DefaultParagraphFont"/>
    <w:uiPriority w:val="20"/>
    <w:qFormat/>
    <w:rsid w:val="000A6DFA"/>
    <w:rPr>
      <w:i/>
      <w:iCs/>
    </w:rPr>
  </w:style>
  <w:style w:type="paragraph" w:styleId="NormalWeb">
    <w:name w:val="Normal (Web)"/>
    <w:basedOn w:val="Normal"/>
    <w:uiPriority w:val="99"/>
    <w:semiHidden/>
    <w:unhideWhenUsed/>
    <w:rsid w:val="000A6DF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0893">
      <w:bodyDiv w:val="1"/>
      <w:marLeft w:val="0"/>
      <w:marRight w:val="0"/>
      <w:marTop w:val="0"/>
      <w:marBottom w:val="0"/>
      <w:divBdr>
        <w:top w:val="none" w:sz="0" w:space="0" w:color="auto"/>
        <w:left w:val="none" w:sz="0" w:space="0" w:color="auto"/>
        <w:bottom w:val="none" w:sz="0" w:space="0" w:color="auto"/>
        <w:right w:val="none" w:sz="0" w:space="0" w:color="auto"/>
      </w:divBdr>
      <w:divsChild>
        <w:div w:id="1515532962">
          <w:marLeft w:val="0"/>
          <w:marRight w:val="0"/>
          <w:marTop w:val="0"/>
          <w:marBottom w:val="0"/>
          <w:divBdr>
            <w:top w:val="none" w:sz="0" w:space="0" w:color="auto"/>
            <w:left w:val="none" w:sz="0" w:space="0" w:color="auto"/>
            <w:bottom w:val="none" w:sz="0" w:space="0" w:color="auto"/>
            <w:right w:val="none" w:sz="0" w:space="0" w:color="auto"/>
          </w:divBdr>
          <w:divsChild>
            <w:div w:id="2073238118">
              <w:marLeft w:val="0"/>
              <w:marRight w:val="0"/>
              <w:marTop w:val="0"/>
              <w:marBottom w:val="0"/>
              <w:divBdr>
                <w:top w:val="none" w:sz="0" w:space="0" w:color="auto"/>
                <w:left w:val="none" w:sz="0" w:space="0" w:color="auto"/>
                <w:bottom w:val="none" w:sz="0" w:space="0" w:color="auto"/>
                <w:right w:val="none" w:sz="0" w:space="0" w:color="auto"/>
              </w:divBdr>
              <w:divsChild>
                <w:div w:id="2066951885">
                  <w:marLeft w:val="-300"/>
                  <w:marRight w:val="0"/>
                  <w:marTop w:val="0"/>
                  <w:marBottom w:val="0"/>
                  <w:divBdr>
                    <w:top w:val="none" w:sz="0" w:space="0" w:color="auto"/>
                    <w:left w:val="none" w:sz="0" w:space="0" w:color="auto"/>
                    <w:bottom w:val="none" w:sz="0" w:space="0" w:color="auto"/>
                    <w:right w:val="none" w:sz="0" w:space="0" w:color="auto"/>
                  </w:divBdr>
                  <w:divsChild>
                    <w:div w:id="910623266">
                      <w:marLeft w:val="0"/>
                      <w:marRight w:val="0"/>
                      <w:marTop w:val="0"/>
                      <w:marBottom w:val="0"/>
                      <w:divBdr>
                        <w:top w:val="none" w:sz="0" w:space="0" w:color="auto"/>
                        <w:left w:val="none" w:sz="0" w:space="0" w:color="auto"/>
                        <w:bottom w:val="none" w:sz="0" w:space="0" w:color="auto"/>
                        <w:right w:val="none" w:sz="0" w:space="0" w:color="auto"/>
                      </w:divBdr>
                      <w:divsChild>
                        <w:div w:id="616525485">
                          <w:marLeft w:val="0"/>
                          <w:marRight w:val="0"/>
                          <w:marTop w:val="0"/>
                          <w:marBottom w:val="0"/>
                          <w:divBdr>
                            <w:top w:val="none" w:sz="0" w:space="0" w:color="auto"/>
                            <w:left w:val="none" w:sz="0" w:space="0" w:color="auto"/>
                            <w:bottom w:val="none" w:sz="0" w:space="0" w:color="auto"/>
                            <w:right w:val="none" w:sz="0" w:space="0" w:color="auto"/>
                          </w:divBdr>
                        </w:div>
                        <w:div w:id="78138412">
                          <w:marLeft w:val="0"/>
                          <w:marRight w:val="0"/>
                          <w:marTop w:val="0"/>
                          <w:marBottom w:val="0"/>
                          <w:divBdr>
                            <w:top w:val="none" w:sz="0" w:space="0" w:color="auto"/>
                            <w:left w:val="none" w:sz="0" w:space="0" w:color="auto"/>
                            <w:bottom w:val="none" w:sz="0" w:space="0" w:color="auto"/>
                            <w:right w:val="none" w:sz="0" w:space="0" w:color="auto"/>
                          </w:divBdr>
                        </w:div>
                        <w:div w:id="1513912881">
                          <w:marLeft w:val="0"/>
                          <w:marRight w:val="0"/>
                          <w:marTop w:val="0"/>
                          <w:marBottom w:val="0"/>
                          <w:divBdr>
                            <w:top w:val="none" w:sz="0" w:space="0" w:color="auto"/>
                            <w:left w:val="none" w:sz="0" w:space="0" w:color="auto"/>
                            <w:bottom w:val="none" w:sz="0" w:space="0" w:color="auto"/>
                            <w:right w:val="none" w:sz="0" w:space="0" w:color="auto"/>
                          </w:divBdr>
                        </w:div>
                        <w:div w:id="140930988">
                          <w:marLeft w:val="-300"/>
                          <w:marRight w:val="0"/>
                          <w:marTop w:val="0"/>
                          <w:marBottom w:val="0"/>
                          <w:divBdr>
                            <w:top w:val="none" w:sz="0" w:space="0" w:color="auto"/>
                            <w:left w:val="none" w:sz="0" w:space="0" w:color="auto"/>
                            <w:bottom w:val="none" w:sz="0" w:space="0" w:color="auto"/>
                            <w:right w:val="none" w:sz="0" w:space="0" w:color="auto"/>
                          </w:divBdr>
                        </w:div>
                      </w:divsChild>
                    </w:div>
                    <w:div w:id="308023767">
                      <w:marLeft w:val="0"/>
                      <w:marRight w:val="0"/>
                      <w:marTop w:val="0"/>
                      <w:marBottom w:val="0"/>
                      <w:divBdr>
                        <w:top w:val="none" w:sz="0" w:space="0" w:color="auto"/>
                        <w:left w:val="none" w:sz="0" w:space="0" w:color="auto"/>
                        <w:bottom w:val="none" w:sz="0" w:space="0" w:color="auto"/>
                        <w:right w:val="none" w:sz="0" w:space="0" w:color="auto"/>
                      </w:divBdr>
                      <w:divsChild>
                        <w:div w:id="1765614945">
                          <w:marLeft w:val="0"/>
                          <w:marRight w:val="0"/>
                          <w:marTop w:val="0"/>
                          <w:marBottom w:val="0"/>
                          <w:divBdr>
                            <w:top w:val="none" w:sz="0" w:space="0" w:color="auto"/>
                            <w:left w:val="none" w:sz="0" w:space="0" w:color="auto"/>
                            <w:bottom w:val="none" w:sz="0" w:space="0" w:color="auto"/>
                            <w:right w:val="none" w:sz="0" w:space="0" w:color="auto"/>
                          </w:divBdr>
                        </w:div>
                        <w:div w:id="14119805">
                          <w:marLeft w:val="0"/>
                          <w:marRight w:val="0"/>
                          <w:marTop w:val="0"/>
                          <w:marBottom w:val="0"/>
                          <w:divBdr>
                            <w:top w:val="none" w:sz="0" w:space="0" w:color="auto"/>
                            <w:left w:val="none" w:sz="0" w:space="0" w:color="auto"/>
                            <w:bottom w:val="none" w:sz="0" w:space="0" w:color="auto"/>
                            <w:right w:val="none" w:sz="0" w:space="0" w:color="auto"/>
                          </w:divBdr>
                        </w:div>
                        <w:div w:id="4902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contributors/michael-walz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books.com/contributors/kai-bird/" TargetMode="External"/><Relationship Id="rId12" Type="http://schemas.openxmlformats.org/officeDocument/2006/relationships/hyperlink" Target="http://www.nybooks.com/articles/2016/11/10/on-the-boycott-of-israeli-sett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books.com/contributors/edward-witten/" TargetMode="External"/><Relationship Id="rId11" Type="http://schemas.openxmlformats.org/officeDocument/2006/relationships/hyperlink" Target="http://www.nybooks.com/articles/2016/10/13/economic-boycott-israeli-settlements/" TargetMode="External"/><Relationship Id="rId5" Type="http://schemas.openxmlformats.org/officeDocument/2006/relationships/hyperlink" Target="http://www.nybooks.com/contributors/david-abraham/" TargetMode="External"/><Relationship Id="rId10" Type="http://schemas.openxmlformats.org/officeDocument/2006/relationships/hyperlink" Target="http://www.nybooks.com/issues/2016/10/13/" TargetMode="External"/><Relationship Id="rId4" Type="http://schemas.openxmlformats.org/officeDocument/2006/relationships/webSettings" Target="webSettings.xml"/><Relationship Id="rId9" Type="http://schemas.openxmlformats.org/officeDocument/2006/relationships/hyperlink" Target="http://www.nybooks.com/contributors/peter-bein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2017-03-02T02:08:00Z</dcterms:created>
  <dcterms:modified xsi:type="dcterms:W3CDTF">2017-03-02T02:09:00Z</dcterms:modified>
</cp:coreProperties>
</file>