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044E" w:rsidRPr="0030044E" w:rsidRDefault="0030044E" w:rsidP="0030044E">
      <w:pPr>
        <w:spacing w:before="100" w:beforeAutospacing="1" w:after="100" w:afterAutospacing="1" w:line="240" w:lineRule="auto"/>
        <w:outlineLvl w:val="0"/>
        <w:rPr>
          <w:rFonts w:eastAsia="Times New Roman" w:cs="Times New Roman"/>
          <w:b/>
          <w:bCs/>
          <w:kern w:val="36"/>
          <w:sz w:val="48"/>
          <w:szCs w:val="48"/>
        </w:rPr>
      </w:pPr>
      <w:r w:rsidRPr="0030044E">
        <w:rPr>
          <w:rFonts w:eastAsia="Times New Roman" w:cs="Times New Roman"/>
          <w:b/>
          <w:bCs/>
          <w:kern w:val="36"/>
          <w:sz w:val="48"/>
          <w:szCs w:val="48"/>
        </w:rPr>
        <w:fldChar w:fldCharType="begin"/>
      </w:r>
      <w:r w:rsidRPr="0030044E">
        <w:rPr>
          <w:rFonts w:eastAsia="Times New Roman" w:cs="Times New Roman"/>
          <w:b/>
          <w:bCs/>
          <w:kern w:val="36"/>
          <w:sz w:val="48"/>
          <w:szCs w:val="48"/>
        </w:rPr>
        <w:instrText xml:space="preserve"> HYPERLINK "https://www.eccpalestine.org/victory-for-freedom-of-expression-call-to-boycott-recognised-as-a-civil-right/" </w:instrText>
      </w:r>
      <w:r w:rsidRPr="0030044E">
        <w:rPr>
          <w:rFonts w:eastAsia="Times New Roman" w:cs="Times New Roman"/>
          <w:b/>
          <w:bCs/>
          <w:kern w:val="36"/>
          <w:sz w:val="48"/>
          <w:szCs w:val="48"/>
        </w:rPr>
        <w:fldChar w:fldCharType="separate"/>
      </w:r>
      <w:r w:rsidRPr="0030044E">
        <w:rPr>
          <w:rFonts w:eastAsia="Times New Roman" w:cs="Times New Roman"/>
          <w:b/>
          <w:bCs/>
          <w:color w:val="0000FF"/>
          <w:kern w:val="36"/>
          <w:sz w:val="48"/>
          <w:szCs w:val="48"/>
          <w:u w:val="single"/>
        </w:rPr>
        <w:t xml:space="preserve">Victory for freedom of expression : call to boycott of Israeli products </w:t>
      </w:r>
      <w:proofErr w:type="spellStart"/>
      <w:r w:rsidRPr="0030044E">
        <w:rPr>
          <w:rFonts w:eastAsia="Times New Roman" w:cs="Times New Roman"/>
          <w:b/>
          <w:bCs/>
          <w:color w:val="0000FF"/>
          <w:kern w:val="36"/>
          <w:sz w:val="48"/>
          <w:szCs w:val="48"/>
          <w:u w:val="single"/>
        </w:rPr>
        <w:t>recognised</w:t>
      </w:r>
      <w:proofErr w:type="spellEnd"/>
      <w:r w:rsidRPr="0030044E">
        <w:rPr>
          <w:rFonts w:eastAsia="Times New Roman" w:cs="Times New Roman"/>
          <w:b/>
          <w:bCs/>
          <w:color w:val="0000FF"/>
          <w:kern w:val="36"/>
          <w:sz w:val="48"/>
          <w:szCs w:val="48"/>
          <w:u w:val="single"/>
        </w:rPr>
        <w:t xml:space="preserve"> as a civil right</w:t>
      </w:r>
      <w:r w:rsidRPr="0030044E">
        <w:rPr>
          <w:rFonts w:eastAsia="Times New Roman" w:cs="Times New Roman"/>
          <w:b/>
          <w:bCs/>
          <w:kern w:val="36"/>
          <w:sz w:val="48"/>
          <w:szCs w:val="48"/>
        </w:rPr>
        <w:fldChar w:fldCharType="end"/>
      </w:r>
    </w:p>
    <w:p w:rsidR="0030044E" w:rsidRDefault="0030044E" w:rsidP="0030044E">
      <w:pPr>
        <w:spacing w:after="0" w:line="240" w:lineRule="auto"/>
        <w:rPr>
          <w:rFonts w:eastAsia="Times New Roman" w:cs="Times New Roman"/>
          <w:szCs w:val="24"/>
        </w:rPr>
      </w:pPr>
      <w:r w:rsidRPr="0030044E">
        <w:rPr>
          <w:rFonts w:eastAsia="Times New Roman" w:cs="Times New Roman"/>
          <w:szCs w:val="24"/>
        </w:rPr>
        <w:t xml:space="preserve">– Posted on 16 </w:t>
      </w:r>
      <w:proofErr w:type="spellStart"/>
      <w:r w:rsidRPr="0030044E">
        <w:rPr>
          <w:rFonts w:eastAsia="Times New Roman" w:cs="Times New Roman"/>
          <w:szCs w:val="24"/>
        </w:rPr>
        <w:t>juin</w:t>
      </w:r>
      <w:proofErr w:type="spellEnd"/>
      <w:r w:rsidRPr="0030044E">
        <w:rPr>
          <w:rFonts w:eastAsia="Times New Roman" w:cs="Times New Roman"/>
          <w:szCs w:val="24"/>
        </w:rPr>
        <w:t xml:space="preserve"> 2020</w:t>
      </w:r>
      <w:r w:rsidRPr="0030044E">
        <w:rPr>
          <w:rFonts w:eastAsia="Times New Roman" w:cs="Times New Roman"/>
          <w:b/>
          <w:bCs/>
          <w:szCs w:val="24"/>
        </w:rPr>
        <w:t xml:space="preserve">Posted in: </w:t>
      </w:r>
      <w:hyperlink r:id="rId4" w:history="1">
        <w:r w:rsidRPr="0030044E">
          <w:rPr>
            <w:rFonts w:eastAsia="Times New Roman" w:cs="Times New Roman"/>
            <w:color w:val="0000FF"/>
            <w:szCs w:val="24"/>
            <w:u w:val="single"/>
          </w:rPr>
          <w:t>Home</w:t>
        </w:r>
      </w:hyperlink>
    </w:p>
    <w:p w:rsidR="0030044E" w:rsidRDefault="0030044E" w:rsidP="0030044E">
      <w:pPr>
        <w:spacing w:after="0" w:line="240" w:lineRule="auto"/>
        <w:rPr>
          <w:rFonts w:eastAsia="Times New Roman" w:cs="Times New Roman"/>
          <w:szCs w:val="24"/>
        </w:rPr>
      </w:pPr>
      <w:r>
        <w:rPr>
          <w:rFonts w:eastAsia="Times New Roman" w:cs="Times New Roman"/>
          <w:szCs w:val="24"/>
        </w:rPr>
        <w:t>European Coordination of Committees and Associations for Palestine</w:t>
      </w:r>
      <w:bookmarkStart w:id="0" w:name="_GoBack"/>
      <w:bookmarkEnd w:id="0"/>
    </w:p>
    <w:p w:rsidR="0030044E" w:rsidRPr="0030044E" w:rsidRDefault="0030044E" w:rsidP="0030044E">
      <w:pPr>
        <w:spacing w:after="0" w:line="240" w:lineRule="auto"/>
        <w:rPr>
          <w:rFonts w:eastAsia="Times New Roman" w:cs="Times New Roman"/>
          <w:szCs w:val="24"/>
        </w:rPr>
      </w:pPr>
      <w:hyperlink r:id="rId5" w:history="1">
        <w:r w:rsidRPr="005563AF">
          <w:rPr>
            <w:rStyle w:val="Hyperlink"/>
            <w:rFonts w:eastAsia="Times New Roman" w:cs="Times New Roman"/>
            <w:szCs w:val="24"/>
          </w:rPr>
          <w:t>https://www.eccpalestine.org/victory-for-freedom-of-expression-call-to-boycott-recognised-as-a-civil-right/</w:t>
        </w:r>
      </w:hyperlink>
      <w:r>
        <w:rPr>
          <w:rFonts w:eastAsia="Times New Roman" w:cs="Times New Roman"/>
          <w:szCs w:val="24"/>
        </w:rPr>
        <w:t xml:space="preserve"> </w:t>
      </w:r>
    </w:p>
    <w:p w:rsidR="0030044E" w:rsidRPr="0030044E" w:rsidRDefault="0030044E" w:rsidP="0030044E">
      <w:pPr>
        <w:spacing w:before="100" w:beforeAutospacing="1" w:after="100" w:afterAutospacing="1" w:line="240" w:lineRule="auto"/>
        <w:rPr>
          <w:rFonts w:eastAsia="Times New Roman" w:cs="Times New Roman"/>
          <w:szCs w:val="24"/>
        </w:rPr>
      </w:pPr>
    </w:p>
    <w:p w:rsidR="0030044E" w:rsidRPr="0030044E" w:rsidRDefault="0030044E" w:rsidP="0030044E">
      <w:pPr>
        <w:spacing w:before="100" w:beforeAutospacing="1" w:after="100" w:afterAutospacing="1" w:line="240" w:lineRule="auto"/>
        <w:rPr>
          <w:rFonts w:eastAsia="Times New Roman" w:cs="Times New Roman"/>
          <w:szCs w:val="24"/>
        </w:rPr>
      </w:pPr>
      <w:r w:rsidRPr="0030044E">
        <w:rPr>
          <w:rFonts w:eastAsia="Times New Roman" w:cs="Times New Roman"/>
          <w:szCs w:val="24"/>
        </w:rPr>
        <w:t xml:space="preserve">On 11 June European Court of Human Rights (ECHR) ruled unanimously that France’s highest court’s conviction of 11 activists </w:t>
      </w:r>
      <w:hyperlink r:id="rId6" w:history="1">
        <w:r w:rsidRPr="0030044E">
          <w:rPr>
            <w:rFonts w:eastAsia="Times New Roman" w:cs="Times New Roman"/>
            <w:color w:val="000080"/>
            <w:szCs w:val="24"/>
            <w:u w:val="single"/>
          </w:rPr>
          <w:t>calling for a boycott of Israeli products on sale in supermarkets</w:t>
        </w:r>
      </w:hyperlink>
      <w:r w:rsidRPr="0030044E">
        <w:rPr>
          <w:rFonts w:eastAsia="Times New Roman" w:cs="Times New Roman"/>
          <w:szCs w:val="24"/>
        </w:rPr>
        <w:t xml:space="preserve"> have violated the European Convention on Human Rights’ freedom of expression article.</w:t>
      </w:r>
    </w:p>
    <w:p w:rsidR="0030044E" w:rsidRPr="0030044E" w:rsidRDefault="0030044E" w:rsidP="0030044E">
      <w:pPr>
        <w:spacing w:before="100" w:beforeAutospacing="1" w:after="100" w:afterAutospacing="1" w:line="240" w:lineRule="auto"/>
        <w:rPr>
          <w:rFonts w:eastAsia="Times New Roman" w:cs="Times New Roman"/>
          <w:szCs w:val="24"/>
        </w:rPr>
      </w:pPr>
      <w:r w:rsidRPr="0030044E">
        <w:rPr>
          <w:rFonts w:eastAsia="Times New Roman" w:cs="Times New Roman"/>
          <w:szCs w:val="24"/>
        </w:rPr>
        <w:t>In 2009 and 2010, eleven activists in France had participated in peaceful protests inside supermarkets calling for a boycott of Israeli goods in solidarity with the Palestinian struggle for freedom, justice and equality. They were convicted by French courts of “incitement to discrimination ».</w:t>
      </w:r>
    </w:p>
    <w:p w:rsidR="0030044E" w:rsidRPr="0030044E" w:rsidRDefault="0030044E" w:rsidP="0030044E">
      <w:pPr>
        <w:spacing w:before="100" w:beforeAutospacing="1" w:after="100" w:afterAutospacing="1" w:line="240" w:lineRule="auto"/>
        <w:rPr>
          <w:rFonts w:eastAsia="Times New Roman" w:cs="Times New Roman"/>
          <w:szCs w:val="24"/>
        </w:rPr>
      </w:pPr>
      <w:r w:rsidRPr="0030044E">
        <w:rPr>
          <w:rFonts w:eastAsia="Times New Roman" w:cs="Times New Roman"/>
          <w:szCs w:val="24"/>
        </w:rPr>
        <w:t>The ECHR decision comes at a time of widespread condemnations of Israel’s plans to formally annex large swathes of the occupied Palestinian territory. In response to these plans and to Israel’s ongoing apartheid regime and de facto annexation,  </w:t>
      </w:r>
      <w:hyperlink r:id="rId7" w:history="1">
        <w:r w:rsidRPr="0030044E">
          <w:rPr>
            <w:rFonts w:eastAsia="Times New Roman" w:cs="Times New Roman"/>
            <w:color w:val="000080"/>
            <w:szCs w:val="24"/>
            <w:u w:val="single"/>
          </w:rPr>
          <w:t>Palestinian civil society has reminded states of their obligations to</w:t>
        </w:r>
      </w:hyperlink>
      <w:r w:rsidRPr="0030044E">
        <w:rPr>
          <w:rFonts w:eastAsia="Times New Roman" w:cs="Times New Roman"/>
          <w:szCs w:val="24"/>
        </w:rPr>
        <w:t xml:space="preserve"> adopt “lawful countermeasures,” including a ban on “arms trade and military-security cooperation with Israel” and on trade with Israel’s illegal settlements.</w:t>
      </w:r>
    </w:p>
    <w:p w:rsidR="0030044E" w:rsidRPr="0030044E" w:rsidRDefault="0030044E" w:rsidP="0030044E">
      <w:pPr>
        <w:spacing w:before="100" w:beforeAutospacing="1" w:after="100" w:afterAutospacing="1" w:line="240" w:lineRule="auto"/>
        <w:rPr>
          <w:rFonts w:eastAsia="Times New Roman" w:cs="Times New Roman"/>
          <w:szCs w:val="24"/>
        </w:rPr>
      </w:pPr>
      <w:r w:rsidRPr="0030044E">
        <w:rPr>
          <w:rFonts w:eastAsia="Times New Roman" w:cs="Times New Roman"/>
          <w:szCs w:val="24"/>
        </w:rPr>
        <w:t xml:space="preserve">For more information on the court case and ECHR ruling check </w:t>
      </w:r>
      <w:hyperlink r:id="rId8" w:history="1">
        <w:r w:rsidRPr="0030044E">
          <w:rPr>
            <w:rFonts w:eastAsia="Times New Roman" w:cs="Times New Roman"/>
            <w:color w:val="000080"/>
            <w:szCs w:val="24"/>
            <w:u w:val="single"/>
          </w:rPr>
          <w:t>here </w:t>
        </w:r>
      </w:hyperlink>
    </w:p>
    <w:p w:rsidR="002711F6" w:rsidRDefault="0030044E"/>
    <w:sectPr w:rsidR="002711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44E"/>
    <w:rsid w:val="0030044E"/>
    <w:rsid w:val="007733EE"/>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72193"/>
  <w15:chartTrackingRefBased/>
  <w15:docId w15:val="{2520325F-FC99-4B6F-809A-B7F5E1226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30044E"/>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044E"/>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30044E"/>
    <w:rPr>
      <w:color w:val="0000FF"/>
      <w:u w:val="single"/>
    </w:rPr>
  </w:style>
  <w:style w:type="character" w:customStyle="1" w:styleId="entry-cat">
    <w:name w:val="entry-cat"/>
    <w:basedOn w:val="DefaultParagraphFont"/>
    <w:rsid w:val="0030044E"/>
  </w:style>
  <w:style w:type="character" w:styleId="Strong">
    <w:name w:val="Strong"/>
    <w:basedOn w:val="DefaultParagraphFont"/>
    <w:uiPriority w:val="22"/>
    <w:qFormat/>
    <w:rsid w:val="0030044E"/>
    <w:rPr>
      <w:b/>
      <w:bCs/>
    </w:rPr>
  </w:style>
  <w:style w:type="paragraph" w:styleId="NormalWeb">
    <w:name w:val="Normal (Web)"/>
    <w:basedOn w:val="Normal"/>
    <w:uiPriority w:val="99"/>
    <w:semiHidden/>
    <w:unhideWhenUsed/>
    <w:rsid w:val="0030044E"/>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0580384">
      <w:bodyDiv w:val="1"/>
      <w:marLeft w:val="0"/>
      <w:marRight w:val="0"/>
      <w:marTop w:val="0"/>
      <w:marBottom w:val="0"/>
      <w:divBdr>
        <w:top w:val="none" w:sz="0" w:space="0" w:color="auto"/>
        <w:left w:val="none" w:sz="0" w:space="0" w:color="auto"/>
        <w:bottom w:val="none" w:sz="0" w:space="0" w:color="auto"/>
        <w:right w:val="none" w:sz="0" w:space="0" w:color="auto"/>
      </w:divBdr>
      <w:divsChild>
        <w:div w:id="1066564431">
          <w:marLeft w:val="0"/>
          <w:marRight w:val="0"/>
          <w:marTop w:val="0"/>
          <w:marBottom w:val="0"/>
          <w:divBdr>
            <w:top w:val="none" w:sz="0" w:space="0" w:color="auto"/>
            <w:left w:val="none" w:sz="0" w:space="0" w:color="auto"/>
            <w:bottom w:val="none" w:sz="0" w:space="0" w:color="auto"/>
            <w:right w:val="none" w:sz="0" w:space="0" w:color="auto"/>
          </w:divBdr>
        </w:div>
        <w:div w:id="8217739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rance-palestine.org/Victory-for-freedom-of-expression-call-to-boycott-recognized-as-a-civil-right" TargetMode="External"/><Relationship Id="rId3" Type="http://schemas.openxmlformats.org/officeDocument/2006/relationships/webSettings" Target="webSettings.xml"/><Relationship Id="rId7" Type="http://schemas.openxmlformats.org/officeDocument/2006/relationships/hyperlink" Target="https://bdsmovement.net/news/palestinian-civil-society-calls-states-sanction-israel-stop-illegal-annexat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lectronicintifada.net/blogs/ali-abunimah/france-now-more-repressive-boycott-calls-israel" TargetMode="External"/><Relationship Id="rId5" Type="http://schemas.openxmlformats.org/officeDocument/2006/relationships/hyperlink" Target="https://www.eccpalestine.org/victory-for-freedom-of-expression-call-to-boycott-recognised-as-a-civil-right/" TargetMode="External"/><Relationship Id="rId10" Type="http://schemas.openxmlformats.org/officeDocument/2006/relationships/theme" Target="theme/theme1.xml"/><Relationship Id="rId4" Type="http://schemas.openxmlformats.org/officeDocument/2006/relationships/hyperlink" Target="https://www.eccpalestine.org/Category/home/"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313</Words>
  <Characters>1788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2020-09-02T00:22:00Z</dcterms:created>
  <dcterms:modified xsi:type="dcterms:W3CDTF">2020-09-02T00:24:00Z</dcterms:modified>
</cp:coreProperties>
</file>