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67C1B" w14:textId="77777777" w:rsidR="00C8741F" w:rsidRPr="000B033D" w:rsidRDefault="00005FAE">
      <w:pPr>
        <w:rPr>
          <w:rFonts w:ascii="Arial" w:hAnsi="Arial" w:cs="Arial"/>
          <w:sz w:val="44"/>
          <w:szCs w:val="44"/>
          <w:lang w:val="en"/>
        </w:rPr>
      </w:pPr>
      <w:r w:rsidRPr="000B033D">
        <w:rPr>
          <w:rFonts w:ascii="Arial" w:hAnsi="Arial" w:cs="Arial"/>
          <w:sz w:val="44"/>
          <w:szCs w:val="44"/>
          <w:lang w:val="en"/>
        </w:rPr>
        <w:t>The Iran Deal’s Dangerous Precedent</w:t>
      </w:r>
    </w:p>
    <w:p w14:paraId="67F3E056" w14:textId="77777777" w:rsidR="000B033D" w:rsidRPr="000B033D" w:rsidRDefault="000B033D" w:rsidP="000B033D">
      <w:pPr>
        <w:spacing w:after="0" w:line="240" w:lineRule="auto"/>
        <w:rPr>
          <w:rFonts w:ascii="Arial" w:hAnsi="Arial" w:cs="Arial"/>
          <w:sz w:val="28"/>
          <w:szCs w:val="28"/>
          <w:lang w:val="en"/>
        </w:rPr>
      </w:pPr>
      <w:r w:rsidRPr="000B033D">
        <w:rPr>
          <w:rFonts w:ascii="Arial" w:hAnsi="Arial" w:cs="Arial"/>
          <w:sz w:val="28"/>
          <w:szCs w:val="28"/>
          <w:lang w:val="en"/>
        </w:rPr>
        <w:t>August 3, 2015</w:t>
      </w:r>
    </w:p>
    <w:p w14:paraId="11F23CDB" w14:textId="77777777" w:rsidR="00005FAE" w:rsidRPr="000B033D" w:rsidRDefault="00005FAE" w:rsidP="000B033D">
      <w:pPr>
        <w:spacing w:after="0" w:line="240" w:lineRule="auto"/>
        <w:rPr>
          <w:rFonts w:ascii="Arial" w:hAnsi="Arial" w:cs="Arial"/>
          <w:sz w:val="28"/>
          <w:szCs w:val="28"/>
          <w:lang w:val="en"/>
        </w:rPr>
      </w:pPr>
      <w:r w:rsidRPr="000B033D">
        <w:rPr>
          <w:rFonts w:ascii="Arial" w:hAnsi="Arial" w:cs="Arial"/>
          <w:sz w:val="28"/>
          <w:szCs w:val="28"/>
          <w:lang w:val="en"/>
        </w:rPr>
        <w:t xml:space="preserve">By John </w:t>
      </w:r>
      <w:r w:rsidR="000B033D" w:rsidRPr="000B033D">
        <w:rPr>
          <w:rFonts w:ascii="Arial" w:hAnsi="Arial" w:cs="Arial"/>
          <w:sz w:val="28"/>
          <w:szCs w:val="28"/>
          <w:lang w:val="en"/>
        </w:rPr>
        <w:t xml:space="preserve">R. </w:t>
      </w:r>
      <w:r w:rsidRPr="000B033D">
        <w:rPr>
          <w:rFonts w:ascii="Arial" w:hAnsi="Arial" w:cs="Arial"/>
          <w:sz w:val="28"/>
          <w:szCs w:val="28"/>
          <w:lang w:val="en"/>
        </w:rPr>
        <w:t>Bolton</w:t>
      </w:r>
    </w:p>
    <w:p w14:paraId="15154978" w14:textId="77777777" w:rsidR="000B033D" w:rsidRPr="000B033D" w:rsidRDefault="000B033D" w:rsidP="000B033D">
      <w:pPr>
        <w:spacing w:after="0" w:line="240" w:lineRule="auto"/>
        <w:rPr>
          <w:rFonts w:ascii="Arial" w:hAnsi="Arial" w:cs="Arial"/>
          <w:sz w:val="28"/>
          <w:szCs w:val="28"/>
          <w:lang w:val="en"/>
        </w:rPr>
      </w:pPr>
      <w:r w:rsidRPr="000B033D">
        <w:rPr>
          <w:rFonts w:ascii="Arial" w:hAnsi="Arial" w:cs="Arial"/>
          <w:sz w:val="28"/>
          <w:szCs w:val="28"/>
          <w:lang w:val="en"/>
        </w:rPr>
        <w:t>The New York Times</w:t>
      </w:r>
    </w:p>
    <w:p w14:paraId="6CB04500" w14:textId="77777777" w:rsidR="000B033D" w:rsidRPr="000B033D" w:rsidRDefault="000B033D" w:rsidP="000B033D">
      <w:pPr>
        <w:spacing w:after="0" w:line="240" w:lineRule="auto"/>
        <w:rPr>
          <w:rFonts w:ascii="Arial" w:hAnsi="Arial" w:cs="Arial"/>
          <w:sz w:val="28"/>
          <w:szCs w:val="28"/>
          <w:lang w:val="en"/>
        </w:rPr>
      </w:pPr>
      <w:r w:rsidRPr="000B033D">
        <w:rPr>
          <w:rFonts w:ascii="Arial" w:hAnsi="Arial" w:cs="Arial"/>
          <w:sz w:val="28"/>
          <w:szCs w:val="28"/>
          <w:lang w:val="en"/>
        </w:rPr>
        <w:t>http://www.nytimes.com/2015/08/03/opinion/the-iran-deals-dangerous-precedent.html?ref=opinion</w:t>
      </w:r>
    </w:p>
    <w:p w14:paraId="41540AFC" w14:textId="77777777" w:rsidR="000B033D" w:rsidRPr="000B033D" w:rsidRDefault="000B033D" w:rsidP="000B033D">
      <w:pPr>
        <w:spacing w:before="100" w:beforeAutospacing="1" w:after="100" w:afterAutospacing="1" w:line="240" w:lineRule="auto"/>
        <w:jc w:val="left"/>
        <w:rPr>
          <w:rFonts w:ascii="Arial" w:eastAsia="Times New Roman" w:hAnsi="Arial" w:cs="Arial"/>
          <w:sz w:val="28"/>
          <w:szCs w:val="28"/>
          <w:lang w:val="en"/>
        </w:rPr>
      </w:pPr>
      <w:r w:rsidRPr="000B033D">
        <w:rPr>
          <w:rFonts w:ascii="Arial" w:eastAsia="Times New Roman" w:hAnsi="Arial" w:cs="Arial"/>
          <w:sz w:val="28"/>
          <w:szCs w:val="28"/>
          <w:lang w:val="en"/>
        </w:rPr>
        <w:t>HAD anyone believed President Obama’s mantra that “all options are on the table”</w:t>
      </w:r>
      <w:bookmarkStart w:id="0" w:name="_GoBack"/>
      <w:bookmarkEnd w:id="0"/>
      <w:r w:rsidRPr="000B033D">
        <w:rPr>
          <w:rFonts w:ascii="Arial" w:eastAsia="Times New Roman" w:hAnsi="Arial" w:cs="Arial"/>
          <w:sz w:val="28"/>
          <w:szCs w:val="28"/>
          <w:lang w:val="en"/>
        </w:rPr>
        <w:t xml:space="preserve"> to deal with Iran’s nuclear weapons program, the Vienna agreement might have emerged less advantageously for Tehran. But no one took Mr. Obama’s threat of military force seriously — a credibility gap that Israel still fears and Iran still exploits. Even so, Vice President Joseph R. Biden Jr. is still trying to reassure nervous Democrats in Congress that the Vienna agreement does not preclude America’s use of force.</w:t>
      </w:r>
    </w:p>
    <w:p w14:paraId="5036344C" w14:textId="77777777" w:rsidR="000B033D" w:rsidRPr="000B033D" w:rsidRDefault="000B033D" w:rsidP="000B033D">
      <w:pPr>
        <w:spacing w:before="100" w:beforeAutospacing="1" w:after="100" w:afterAutospacing="1" w:line="240" w:lineRule="auto"/>
        <w:jc w:val="left"/>
        <w:rPr>
          <w:rFonts w:ascii="Arial" w:eastAsia="Times New Roman" w:hAnsi="Arial" w:cs="Arial"/>
          <w:sz w:val="28"/>
          <w:szCs w:val="28"/>
          <w:lang w:val="en"/>
        </w:rPr>
      </w:pPr>
      <w:r w:rsidRPr="000B033D">
        <w:rPr>
          <w:rFonts w:ascii="Arial" w:eastAsia="Times New Roman" w:hAnsi="Arial" w:cs="Arial"/>
          <w:sz w:val="28"/>
          <w:szCs w:val="28"/>
          <w:lang w:val="en"/>
        </w:rPr>
        <w:t>Despite its blasé confidence in the agreement, however, the Obama administration understands the near-certainty that Iran will break its word. Tehran’s potential violations were not merely one of many difficult issues for negotiators; they were the essence of the talks. The deal’s entire structure turns on the issue of how to detect and handle breaches.</w:t>
      </w:r>
    </w:p>
    <w:p w14:paraId="4A811DC7" w14:textId="77777777" w:rsidR="000B033D" w:rsidRPr="000B033D" w:rsidRDefault="000B033D" w:rsidP="000B033D">
      <w:pPr>
        <w:spacing w:before="100" w:beforeAutospacing="1" w:after="100" w:afterAutospacing="1" w:line="240" w:lineRule="auto"/>
        <w:jc w:val="left"/>
        <w:rPr>
          <w:rFonts w:ascii="Arial" w:eastAsia="Times New Roman" w:hAnsi="Arial" w:cs="Arial"/>
          <w:sz w:val="28"/>
          <w:szCs w:val="28"/>
          <w:lang w:val="en"/>
        </w:rPr>
      </w:pPr>
      <w:r w:rsidRPr="000B033D">
        <w:rPr>
          <w:rFonts w:ascii="Arial" w:eastAsia="Times New Roman" w:hAnsi="Arial" w:cs="Arial"/>
          <w:sz w:val="28"/>
          <w:szCs w:val="28"/>
          <w:lang w:val="en"/>
        </w:rPr>
        <w:t>If Iran is caught transgressing, Mr. Obama’s plan is not to use force, but to apply “snapback sanctions.” His administration has argued repeatedly that such sanctions (or even new sanctions) will deter or punish violations, keeping the deal on track and Iran clear of nuclear weapons. This rationale conforms to the underlying logic for the talks themselves: If sanctions brought Iran to the table, then sanctions will keep the deal viable once implementation begins.</w:t>
      </w:r>
    </w:p>
    <w:p w14:paraId="566030C9" w14:textId="77777777" w:rsidR="000B033D" w:rsidRPr="000B033D" w:rsidRDefault="000B033D" w:rsidP="000B033D">
      <w:pPr>
        <w:spacing w:before="100" w:beforeAutospacing="1" w:after="100" w:afterAutospacing="1" w:line="240" w:lineRule="auto"/>
        <w:jc w:val="left"/>
        <w:rPr>
          <w:rFonts w:ascii="Arial" w:eastAsia="Times New Roman" w:hAnsi="Arial" w:cs="Arial"/>
          <w:sz w:val="28"/>
          <w:szCs w:val="28"/>
          <w:lang w:val="en"/>
        </w:rPr>
      </w:pPr>
      <w:r w:rsidRPr="000B033D">
        <w:rPr>
          <w:rFonts w:ascii="Arial" w:eastAsia="Times New Roman" w:hAnsi="Arial" w:cs="Arial"/>
          <w:sz w:val="28"/>
          <w:szCs w:val="28"/>
          <w:lang w:val="en"/>
        </w:rPr>
        <w:t>Unfortunately, the mechanism to address violations is as flawed as the deal’s underlying logic. For the president’s predictions of Iranian behavior to come true (and they are central to successful implementation), Tehran must recognize the inevitability of the pain their country will suffer for straying from compliance.</w:t>
      </w:r>
    </w:p>
    <w:p w14:paraId="433C7286" w14:textId="77777777" w:rsidR="000B033D" w:rsidRPr="000B033D" w:rsidRDefault="000B033D" w:rsidP="000B033D">
      <w:pPr>
        <w:spacing w:before="100" w:beforeAutospacing="1" w:after="100" w:afterAutospacing="1" w:line="240" w:lineRule="auto"/>
        <w:jc w:val="left"/>
        <w:rPr>
          <w:rFonts w:ascii="Arial" w:eastAsia="Times New Roman" w:hAnsi="Arial" w:cs="Arial"/>
          <w:sz w:val="28"/>
          <w:szCs w:val="28"/>
          <w:lang w:val="en"/>
        </w:rPr>
      </w:pPr>
      <w:r w:rsidRPr="000B033D">
        <w:rPr>
          <w:rFonts w:ascii="Arial" w:eastAsia="Times New Roman" w:hAnsi="Arial" w:cs="Arial"/>
          <w:sz w:val="28"/>
          <w:szCs w:val="28"/>
          <w:lang w:val="en"/>
        </w:rPr>
        <w:t xml:space="preserve">Yet the very language of the Vienna deal demonstrates the opposite. In two provisions (Paragraphs 26 and 37), Iran rejects the legitimacy of sanctions coming back into force. These </w:t>
      </w:r>
      <w:hyperlink r:id="rId5" w:history="1">
        <w:r w:rsidRPr="000B033D">
          <w:rPr>
            <w:rFonts w:ascii="Arial" w:eastAsia="Times New Roman" w:hAnsi="Arial" w:cs="Arial"/>
            <w:color w:val="0000FF"/>
            <w:sz w:val="28"/>
            <w:szCs w:val="28"/>
            <w:u w:val="single"/>
            <w:lang w:val="en"/>
          </w:rPr>
          <w:t>passages</w:t>
        </w:r>
      </w:hyperlink>
      <w:r w:rsidRPr="000B033D">
        <w:rPr>
          <w:rFonts w:ascii="Arial" w:eastAsia="Times New Roman" w:hAnsi="Arial" w:cs="Arial"/>
          <w:sz w:val="28"/>
          <w:szCs w:val="28"/>
          <w:lang w:val="en"/>
        </w:rPr>
        <w:t xml:space="preserve"> expressly provide, in near identical words, that “Iran has stated that if sanctions are reinstated in </w:t>
      </w:r>
      <w:r w:rsidRPr="000B033D">
        <w:rPr>
          <w:rFonts w:ascii="Arial" w:eastAsia="Times New Roman" w:hAnsi="Arial" w:cs="Arial"/>
          <w:sz w:val="28"/>
          <w:szCs w:val="28"/>
          <w:lang w:val="en"/>
        </w:rPr>
        <w:lastRenderedPageBreak/>
        <w:t>whole or in part, Iran will treat that as grounds to cease performing its commitments under this JCPOA” — Joint Comprehensive Plan of Action — “in whole or in part.”</w:t>
      </w:r>
    </w:p>
    <w:p w14:paraId="010260EA" w14:textId="77777777" w:rsidR="000B033D" w:rsidRPr="000B033D" w:rsidRDefault="000B033D" w:rsidP="000B033D">
      <w:pPr>
        <w:spacing w:before="100" w:beforeAutospacing="1" w:after="100" w:afterAutospacing="1" w:line="240" w:lineRule="auto"/>
        <w:jc w:val="left"/>
        <w:rPr>
          <w:rFonts w:ascii="Arial" w:eastAsia="Times New Roman" w:hAnsi="Arial" w:cs="Arial"/>
          <w:sz w:val="28"/>
          <w:szCs w:val="28"/>
          <w:lang w:val="en"/>
        </w:rPr>
      </w:pPr>
      <w:r w:rsidRPr="000B033D">
        <w:rPr>
          <w:rFonts w:ascii="Arial" w:eastAsia="Times New Roman" w:hAnsi="Arial" w:cs="Arial"/>
          <w:sz w:val="28"/>
          <w:szCs w:val="28"/>
          <w:lang w:val="en"/>
        </w:rPr>
        <w:t>Thus the inexorable pattern will not be: Iran violates the deal; sanctions snap back; Iran resumes compliance. Quite the reverse. The far more likely future is: Iran violates the deal; sanctions snap back; Iran tells us, using a diplomatic term of art, to take our deal and stuff it.</w:t>
      </w:r>
    </w:p>
    <w:p w14:paraId="534CA981" w14:textId="77777777" w:rsidR="000B033D" w:rsidRPr="000B033D" w:rsidRDefault="000B033D" w:rsidP="000B033D">
      <w:pPr>
        <w:spacing w:before="100" w:beforeAutospacing="1" w:after="100" w:afterAutospacing="1" w:line="240" w:lineRule="auto"/>
        <w:jc w:val="left"/>
        <w:rPr>
          <w:rFonts w:ascii="Arial" w:eastAsia="Times New Roman" w:hAnsi="Arial" w:cs="Arial"/>
          <w:sz w:val="28"/>
          <w:szCs w:val="28"/>
          <w:lang w:val="en"/>
        </w:rPr>
      </w:pPr>
      <w:r w:rsidRPr="000B033D">
        <w:rPr>
          <w:rFonts w:ascii="Arial" w:eastAsia="Times New Roman" w:hAnsi="Arial" w:cs="Arial"/>
          <w:sz w:val="28"/>
          <w:szCs w:val="28"/>
          <w:lang w:val="en"/>
        </w:rPr>
        <w:t>Abrogating the deal, of course, would come only after Iran had reaped the economic benefits of having its assets unfrozen and the sanctions ended. The Europeans (among others) will have been suckered back into economic relationships that will cause as much pain to them as to Iran if they are abandoned. Sadly, the ayatollahs know the Europeans better than Mr. Obama does.</w:t>
      </w:r>
    </w:p>
    <w:p w14:paraId="3F0F920E" w14:textId="77777777" w:rsidR="000B033D" w:rsidRPr="000B033D" w:rsidRDefault="000B033D" w:rsidP="000B033D">
      <w:pPr>
        <w:spacing w:before="100" w:beforeAutospacing="1" w:after="100" w:afterAutospacing="1" w:line="240" w:lineRule="auto"/>
        <w:jc w:val="left"/>
        <w:rPr>
          <w:rFonts w:ascii="Arial" w:eastAsia="Times New Roman" w:hAnsi="Arial" w:cs="Arial"/>
          <w:sz w:val="28"/>
          <w:szCs w:val="28"/>
          <w:lang w:val="en"/>
        </w:rPr>
      </w:pPr>
      <w:r w:rsidRPr="000B033D">
        <w:rPr>
          <w:rFonts w:ascii="Arial" w:eastAsia="Times New Roman" w:hAnsi="Arial" w:cs="Arial"/>
          <w:sz w:val="28"/>
          <w:szCs w:val="28"/>
          <w:lang w:val="en"/>
        </w:rPr>
        <w:t>Even under ideal circumstances, the Vienna deal’s arduous “dispute resolution mechanism” provides so many opportunities for Tehran to obfuscate that “snapback” will soon become a slogan of derision. Alleged violations are referred first to a “joint commission,” which may refer the matter to their foreign ministers. In addition, the parties may ask an outside “advisory board” to consider the issue. The board’s nonbinding ruling goes back to the commission for consideration.</w:t>
      </w:r>
    </w:p>
    <w:p w14:paraId="5363005F" w14:textId="77777777" w:rsidR="000B033D" w:rsidRPr="000B033D" w:rsidRDefault="000B033D" w:rsidP="000B033D">
      <w:pPr>
        <w:spacing w:before="100" w:beforeAutospacing="1" w:after="100" w:afterAutospacing="1" w:line="240" w:lineRule="auto"/>
        <w:jc w:val="left"/>
        <w:rPr>
          <w:rFonts w:ascii="Arial" w:eastAsia="Times New Roman" w:hAnsi="Arial" w:cs="Arial"/>
          <w:sz w:val="28"/>
          <w:szCs w:val="28"/>
          <w:lang w:val="en"/>
        </w:rPr>
      </w:pPr>
      <w:r w:rsidRPr="000B033D">
        <w:rPr>
          <w:rFonts w:ascii="Arial" w:eastAsia="Times New Roman" w:hAnsi="Arial" w:cs="Arial"/>
          <w:sz w:val="28"/>
          <w:szCs w:val="28"/>
          <w:lang w:val="en"/>
        </w:rPr>
        <w:t xml:space="preserve">Finally, Mr. Obama’s plan to prevent Russia or China from casting vetoes that block snapback poses hidden dangers for America. Under the deal and Security Council </w:t>
      </w:r>
      <w:hyperlink r:id="rId6" w:history="1">
        <w:r w:rsidRPr="000B033D">
          <w:rPr>
            <w:rFonts w:ascii="Arial" w:eastAsia="Times New Roman" w:hAnsi="Arial" w:cs="Arial"/>
            <w:color w:val="0000FF"/>
            <w:sz w:val="28"/>
            <w:szCs w:val="28"/>
            <w:u w:val="single"/>
            <w:lang w:val="en"/>
          </w:rPr>
          <w:t>Resolution 2231</w:t>
        </w:r>
      </w:hyperlink>
      <w:r w:rsidRPr="000B033D">
        <w:rPr>
          <w:rFonts w:ascii="Arial" w:eastAsia="Times New Roman" w:hAnsi="Arial" w:cs="Arial"/>
          <w:sz w:val="28"/>
          <w:szCs w:val="28"/>
          <w:lang w:val="en"/>
        </w:rPr>
        <w:t>, if a JCPOA party asserts that a significant violation has occurred, then the council must vote within 30 days on whether “to continue the sanctions lifting.” Thus, in theory, if Washington alleged a breach, Moscow and Beijing would have the burden of keeping the sanctions lifted, rather than Washington having the burden of reinstituting them. Absent a resolution “to continue the sanctions lifting,” sanctions snap back.</w:t>
      </w:r>
    </w:p>
    <w:p w14:paraId="18121BD3" w14:textId="77777777" w:rsidR="000B033D" w:rsidRPr="000B033D" w:rsidRDefault="000B033D" w:rsidP="000B033D">
      <w:pPr>
        <w:spacing w:before="100" w:beforeAutospacing="1" w:after="100" w:afterAutospacing="1" w:line="240" w:lineRule="auto"/>
        <w:jc w:val="left"/>
        <w:rPr>
          <w:rFonts w:ascii="Arial" w:eastAsia="Times New Roman" w:hAnsi="Arial" w:cs="Arial"/>
          <w:sz w:val="28"/>
          <w:szCs w:val="28"/>
          <w:lang w:val="en"/>
        </w:rPr>
      </w:pPr>
      <w:r w:rsidRPr="000B033D">
        <w:rPr>
          <w:rFonts w:ascii="Arial" w:eastAsia="Times New Roman" w:hAnsi="Arial" w:cs="Arial"/>
          <w:sz w:val="28"/>
          <w:szCs w:val="28"/>
          <w:lang w:val="en"/>
        </w:rPr>
        <w:t xml:space="preserve">By concocting a procedure that elides the Russian or Chinese vetoes, Mr. Obama has surreptitiously accomplished a prized objective of the international left, which always disapproved on principle of the veto power. Through 70 years of United Nations history, one lodestar emerges clearly: Washington’s only immutable protection has been its Security Council veto. Mr. Obama’s end-run around the veto poses long-term risks that far </w:t>
      </w:r>
      <w:r w:rsidRPr="000B033D">
        <w:rPr>
          <w:rFonts w:ascii="Arial" w:eastAsia="Times New Roman" w:hAnsi="Arial" w:cs="Arial"/>
          <w:sz w:val="28"/>
          <w:szCs w:val="28"/>
          <w:lang w:val="en"/>
        </w:rPr>
        <w:lastRenderedPageBreak/>
        <w:t>outweigh whatever short-term gain is to be had from boxing in Russia and China now.</w:t>
      </w:r>
    </w:p>
    <w:p w14:paraId="09C222EE" w14:textId="77777777" w:rsidR="000B033D" w:rsidRPr="000B033D" w:rsidRDefault="000B033D" w:rsidP="000B033D">
      <w:pPr>
        <w:spacing w:before="100" w:beforeAutospacing="1" w:after="100" w:afterAutospacing="1" w:line="240" w:lineRule="auto"/>
        <w:jc w:val="left"/>
        <w:rPr>
          <w:rFonts w:ascii="Arial" w:eastAsia="Times New Roman" w:hAnsi="Arial" w:cs="Arial"/>
          <w:sz w:val="28"/>
          <w:szCs w:val="28"/>
          <w:lang w:val="en"/>
        </w:rPr>
      </w:pPr>
      <w:r w:rsidRPr="000B033D">
        <w:rPr>
          <w:rFonts w:ascii="Arial" w:eastAsia="Times New Roman" w:hAnsi="Arial" w:cs="Arial"/>
          <w:sz w:val="28"/>
          <w:szCs w:val="28"/>
          <w:lang w:val="en"/>
        </w:rPr>
        <w:t>Dean Acheson, Truman’s secretary of state, made a comparable mistake in his “Uniting for Peace” strategy, trying to overcome Soviet vetoes during the Korean War by empowering the General Assembly. Acheson rejected British fears that the tactic might backfire; as he later wrote, “</w:t>
      </w:r>
      <w:proofErr w:type="gramStart"/>
      <w:r w:rsidRPr="000B033D">
        <w:rPr>
          <w:rFonts w:ascii="Arial" w:eastAsia="Times New Roman" w:hAnsi="Arial" w:cs="Arial"/>
          <w:sz w:val="28"/>
          <w:szCs w:val="28"/>
          <w:lang w:val="en"/>
        </w:rPr>
        <w:t>present</w:t>
      </w:r>
      <w:proofErr w:type="gramEnd"/>
      <w:r w:rsidRPr="000B033D">
        <w:rPr>
          <w:rFonts w:ascii="Arial" w:eastAsia="Times New Roman" w:hAnsi="Arial" w:cs="Arial"/>
          <w:sz w:val="28"/>
          <w:szCs w:val="28"/>
          <w:lang w:val="en"/>
        </w:rPr>
        <w:t xml:space="preserve"> difficulties outweighed possible future ones, and we pressed on.” We should not repeat the error.</w:t>
      </w:r>
    </w:p>
    <w:p w14:paraId="77C2BD8E" w14:textId="77777777" w:rsidR="000B033D" w:rsidRPr="000B033D" w:rsidRDefault="000B033D" w:rsidP="000B033D">
      <w:pPr>
        <w:spacing w:before="100" w:beforeAutospacing="1" w:after="100" w:afterAutospacing="1" w:line="240" w:lineRule="auto"/>
        <w:jc w:val="left"/>
        <w:rPr>
          <w:rFonts w:ascii="Arial" w:eastAsia="Times New Roman" w:hAnsi="Arial" w:cs="Arial"/>
          <w:sz w:val="28"/>
          <w:szCs w:val="28"/>
          <w:lang w:val="en"/>
        </w:rPr>
      </w:pPr>
      <w:r w:rsidRPr="000B033D">
        <w:rPr>
          <w:rFonts w:ascii="Arial" w:eastAsia="Times New Roman" w:hAnsi="Arial" w:cs="Arial"/>
          <w:sz w:val="28"/>
          <w:szCs w:val="28"/>
          <w:lang w:val="en"/>
        </w:rPr>
        <w:t>Luckily, over the years, the lack of decisiveness in a General Assembly that has grown to nearly four times its original size has saved us from ourselves. But Mr. Obama’s device creates a harmful precedent that could be used to defeat the veto power of all five permanent members of the council, and especially the United States.</w:t>
      </w:r>
    </w:p>
    <w:p w14:paraId="04EEDA2A" w14:textId="77777777" w:rsidR="000B033D" w:rsidRPr="000B033D" w:rsidRDefault="000B033D" w:rsidP="000B033D">
      <w:pPr>
        <w:spacing w:before="100" w:beforeAutospacing="1" w:after="100" w:afterAutospacing="1" w:line="240" w:lineRule="auto"/>
        <w:jc w:val="left"/>
        <w:rPr>
          <w:rFonts w:ascii="Arial" w:eastAsia="Times New Roman" w:hAnsi="Arial" w:cs="Arial"/>
          <w:sz w:val="28"/>
          <w:szCs w:val="28"/>
          <w:lang w:val="en"/>
        </w:rPr>
      </w:pPr>
      <w:r w:rsidRPr="000B033D">
        <w:rPr>
          <w:rFonts w:ascii="Arial" w:eastAsia="Times New Roman" w:hAnsi="Arial" w:cs="Arial"/>
          <w:sz w:val="28"/>
          <w:szCs w:val="28"/>
          <w:lang w:val="en"/>
        </w:rPr>
        <w:t>Unfortunately, snapback sanctions are just as likely to be empty political rhetoric as Mr. Obama’s incantations about all options being on the table. The list of reasons to oppose the Vienna deal is already long, but the pitfalls of snapback sanctions surely rank near the top.</w:t>
      </w:r>
    </w:p>
    <w:p w14:paraId="5A342E2F" w14:textId="77777777" w:rsidR="000B033D" w:rsidRPr="00005FAE" w:rsidRDefault="000B033D">
      <w:pPr>
        <w:rPr>
          <w:lang w:val="en"/>
        </w:rPr>
      </w:pPr>
    </w:p>
    <w:sectPr w:rsidR="000B033D" w:rsidRPr="00005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F359E"/>
    <w:multiLevelType w:val="multilevel"/>
    <w:tmpl w:val="6EF42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FAE"/>
    <w:rsid w:val="00005FAE"/>
    <w:rsid w:val="000B033D"/>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20CA9"/>
  <w15:chartTrackingRefBased/>
  <w15:docId w15:val="{EC751373-BDB0-4B25-884E-ABC27E68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2">
    <w:name w:val="heading 2"/>
    <w:basedOn w:val="Normal"/>
    <w:link w:val="Heading2Char"/>
    <w:uiPriority w:val="9"/>
    <w:qFormat/>
    <w:rsid w:val="000B033D"/>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033D"/>
    <w:rPr>
      <w:rFonts w:ascii="Times New Roman" w:eastAsia="Times New Roman" w:hAnsi="Times New Roman" w:cs="Times New Roman"/>
      <w:b/>
      <w:bCs/>
      <w:sz w:val="36"/>
      <w:szCs w:val="36"/>
    </w:rPr>
  </w:style>
  <w:style w:type="paragraph" w:customStyle="1" w:styleId="story-body-text">
    <w:name w:val="story-body-text"/>
    <w:basedOn w:val="Normal"/>
    <w:rsid w:val="000B033D"/>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033D"/>
    <w:rPr>
      <w:color w:val="0000FF"/>
      <w:u w:val="single"/>
    </w:rPr>
  </w:style>
  <w:style w:type="paragraph" w:styleId="NormalWeb">
    <w:name w:val="Normal (Web)"/>
    <w:basedOn w:val="Normal"/>
    <w:uiPriority w:val="99"/>
    <w:semiHidden/>
    <w:unhideWhenUsed/>
    <w:rsid w:val="000B033D"/>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omment-text">
    <w:name w:val="comment-text"/>
    <w:basedOn w:val="Normal"/>
    <w:rsid w:val="000B033D"/>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853613">
      <w:bodyDiv w:val="1"/>
      <w:marLeft w:val="0"/>
      <w:marRight w:val="0"/>
      <w:marTop w:val="0"/>
      <w:marBottom w:val="0"/>
      <w:divBdr>
        <w:top w:val="none" w:sz="0" w:space="0" w:color="auto"/>
        <w:left w:val="none" w:sz="0" w:space="0" w:color="auto"/>
        <w:bottom w:val="none" w:sz="0" w:space="0" w:color="auto"/>
        <w:right w:val="none" w:sz="0" w:space="0" w:color="auto"/>
      </w:divBdr>
      <w:divsChild>
        <w:div w:id="1569461170">
          <w:marLeft w:val="0"/>
          <w:marRight w:val="0"/>
          <w:marTop w:val="0"/>
          <w:marBottom w:val="0"/>
          <w:divBdr>
            <w:top w:val="none" w:sz="0" w:space="0" w:color="auto"/>
            <w:left w:val="none" w:sz="0" w:space="0" w:color="auto"/>
            <w:bottom w:val="none" w:sz="0" w:space="0" w:color="auto"/>
            <w:right w:val="none" w:sz="0" w:space="0" w:color="auto"/>
          </w:divBdr>
          <w:divsChild>
            <w:div w:id="1173253590">
              <w:marLeft w:val="0"/>
              <w:marRight w:val="0"/>
              <w:marTop w:val="0"/>
              <w:marBottom w:val="0"/>
              <w:divBdr>
                <w:top w:val="none" w:sz="0" w:space="0" w:color="auto"/>
                <w:left w:val="none" w:sz="0" w:space="0" w:color="auto"/>
                <w:bottom w:val="none" w:sz="0" w:space="0" w:color="auto"/>
                <w:right w:val="none" w:sz="0" w:space="0" w:color="auto"/>
              </w:divBdr>
              <w:divsChild>
                <w:div w:id="6667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59073">
      <w:bodyDiv w:val="1"/>
      <w:marLeft w:val="0"/>
      <w:marRight w:val="0"/>
      <w:marTop w:val="0"/>
      <w:marBottom w:val="0"/>
      <w:divBdr>
        <w:top w:val="none" w:sz="0" w:space="0" w:color="auto"/>
        <w:left w:val="none" w:sz="0" w:space="0" w:color="auto"/>
        <w:bottom w:val="none" w:sz="0" w:space="0" w:color="auto"/>
        <w:right w:val="none" w:sz="0" w:space="0" w:color="auto"/>
      </w:divBdr>
      <w:divsChild>
        <w:div w:id="1871723404">
          <w:marLeft w:val="0"/>
          <w:marRight w:val="0"/>
          <w:marTop w:val="0"/>
          <w:marBottom w:val="0"/>
          <w:divBdr>
            <w:top w:val="none" w:sz="0" w:space="0" w:color="auto"/>
            <w:left w:val="none" w:sz="0" w:space="0" w:color="auto"/>
            <w:bottom w:val="none" w:sz="0" w:space="0" w:color="auto"/>
            <w:right w:val="none" w:sz="0" w:space="0" w:color="auto"/>
          </w:divBdr>
          <w:divsChild>
            <w:div w:id="690256153">
              <w:marLeft w:val="0"/>
              <w:marRight w:val="0"/>
              <w:marTop w:val="0"/>
              <w:marBottom w:val="0"/>
              <w:divBdr>
                <w:top w:val="none" w:sz="0" w:space="0" w:color="auto"/>
                <w:left w:val="none" w:sz="0" w:space="0" w:color="auto"/>
                <w:bottom w:val="none" w:sz="0" w:space="0" w:color="auto"/>
                <w:right w:val="none" w:sz="0" w:space="0" w:color="auto"/>
              </w:divBdr>
              <w:divsChild>
                <w:div w:id="611934312">
                  <w:marLeft w:val="0"/>
                  <w:marRight w:val="0"/>
                  <w:marTop w:val="0"/>
                  <w:marBottom w:val="0"/>
                  <w:divBdr>
                    <w:top w:val="none" w:sz="0" w:space="0" w:color="auto"/>
                    <w:left w:val="none" w:sz="0" w:space="0" w:color="auto"/>
                    <w:bottom w:val="none" w:sz="0" w:space="0" w:color="auto"/>
                    <w:right w:val="none" w:sz="0" w:space="0" w:color="auto"/>
                  </w:divBdr>
                  <w:divsChild>
                    <w:div w:id="140922715">
                      <w:marLeft w:val="0"/>
                      <w:marRight w:val="0"/>
                      <w:marTop w:val="0"/>
                      <w:marBottom w:val="0"/>
                      <w:divBdr>
                        <w:top w:val="none" w:sz="0" w:space="0" w:color="auto"/>
                        <w:left w:val="none" w:sz="0" w:space="0" w:color="auto"/>
                        <w:bottom w:val="none" w:sz="0" w:space="0" w:color="auto"/>
                        <w:right w:val="none" w:sz="0" w:space="0" w:color="auto"/>
                      </w:divBdr>
                      <w:divsChild>
                        <w:div w:id="1421297719">
                          <w:marLeft w:val="0"/>
                          <w:marRight w:val="0"/>
                          <w:marTop w:val="0"/>
                          <w:marBottom w:val="0"/>
                          <w:divBdr>
                            <w:top w:val="none" w:sz="0" w:space="0" w:color="auto"/>
                            <w:left w:val="none" w:sz="0" w:space="0" w:color="auto"/>
                            <w:bottom w:val="none" w:sz="0" w:space="0" w:color="auto"/>
                            <w:right w:val="none" w:sz="0" w:space="0" w:color="auto"/>
                          </w:divBdr>
                        </w:div>
                      </w:divsChild>
                    </w:div>
                    <w:div w:id="1946500422">
                      <w:marLeft w:val="0"/>
                      <w:marRight w:val="0"/>
                      <w:marTop w:val="0"/>
                      <w:marBottom w:val="0"/>
                      <w:divBdr>
                        <w:top w:val="none" w:sz="0" w:space="0" w:color="auto"/>
                        <w:left w:val="none" w:sz="0" w:space="0" w:color="auto"/>
                        <w:bottom w:val="none" w:sz="0" w:space="0" w:color="auto"/>
                        <w:right w:val="none" w:sz="0" w:space="0" w:color="auto"/>
                      </w:divBdr>
                      <w:divsChild>
                        <w:div w:id="1810397826">
                          <w:marLeft w:val="0"/>
                          <w:marRight w:val="0"/>
                          <w:marTop w:val="0"/>
                          <w:marBottom w:val="0"/>
                          <w:divBdr>
                            <w:top w:val="none" w:sz="0" w:space="0" w:color="auto"/>
                            <w:left w:val="none" w:sz="0" w:space="0" w:color="auto"/>
                            <w:bottom w:val="none" w:sz="0" w:space="0" w:color="auto"/>
                            <w:right w:val="none" w:sz="0" w:space="0" w:color="auto"/>
                          </w:divBdr>
                        </w:div>
                      </w:divsChild>
                    </w:div>
                    <w:div w:id="13968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press/en/2015/sc11974.doc.htm" TargetMode="External"/><Relationship Id="rId5" Type="http://schemas.openxmlformats.org/officeDocument/2006/relationships/hyperlink" Target="http://eeas.europa.eu/statements-eeas/docs/iran_agreement/iran_joint-comprehensive-plan-of-action_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2015-08-03T14:33:00Z</dcterms:created>
  <dcterms:modified xsi:type="dcterms:W3CDTF">2015-08-03T15:04:00Z</dcterms:modified>
</cp:coreProperties>
</file>