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5FD" w:rsidRDefault="004325FD" w:rsidP="004325FD">
      <w:pPr>
        <w:shd w:val="clear" w:color="auto" w:fill="FBFAF6"/>
        <w:spacing w:after="0" w:line="312" w:lineRule="atLeast"/>
        <w:rPr>
          <w:rFonts w:ascii="Arial" w:eastAsia="Times New Roman" w:hAnsi="Arial" w:cs="Arial"/>
          <w:b/>
          <w:bCs/>
          <w:color w:val="484848"/>
          <w:spacing w:val="3"/>
          <w:sz w:val="38"/>
          <w:szCs w:val="38"/>
        </w:rPr>
      </w:pPr>
      <w:proofErr w:type="gramStart"/>
      <w:r w:rsidRPr="004325FD">
        <w:rPr>
          <w:rFonts w:ascii="Arial" w:eastAsia="Times New Roman" w:hAnsi="Arial" w:cs="Arial"/>
          <w:b/>
          <w:bCs/>
          <w:color w:val="484848"/>
          <w:spacing w:val="3"/>
          <w:sz w:val="38"/>
          <w:szCs w:val="38"/>
        </w:rPr>
        <w:t>Rule 97.</w:t>
      </w:r>
      <w:proofErr w:type="gramEnd"/>
      <w:r w:rsidRPr="004325FD">
        <w:rPr>
          <w:rFonts w:ascii="Arial" w:eastAsia="Times New Roman" w:hAnsi="Arial" w:cs="Arial"/>
          <w:b/>
          <w:bCs/>
          <w:color w:val="484848"/>
          <w:spacing w:val="3"/>
          <w:sz w:val="38"/>
          <w:szCs w:val="38"/>
        </w:rPr>
        <w:t xml:space="preserve"> Human Shields</w:t>
      </w:r>
    </w:p>
    <w:p w:rsidR="004325FD" w:rsidRDefault="004325FD" w:rsidP="004325FD">
      <w:pPr>
        <w:shd w:val="clear" w:color="auto" w:fill="FBFAF6"/>
        <w:spacing w:after="0" w:line="312" w:lineRule="atLeast"/>
        <w:rPr>
          <w:rFonts w:ascii="Arial" w:eastAsia="Times New Roman" w:hAnsi="Arial" w:cs="Arial"/>
          <w:b/>
          <w:bCs/>
          <w:color w:val="484848"/>
          <w:spacing w:val="3"/>
          <w:sz w:val="38"/>
          <w:szCs w:val="38"/>
        </w:rPr>
      </w:pPr>
      <w:r w:rsidRPr="004325FD">
        <w:rPr>
          <w:rFonts w:ascii="Arial" w:eastAsia="Times New Roman" w:hAnsi="Arial" w:cs="Arial"/>
          <w:b/>
          <w:bCs/>
          <w:color w:val="484848"/>
          <w:spacing w:val="3"/>
          <w:sz w:val="38"/>
          <w:szCs w:val="38"/>
        </w:rPr>
        <w:t>https://www.icrc.org/customary-ihl/eng/docs/v1_rul_rule97</w:t>
      </w:r>
      <w:bookmarkStart w:id="0" w:name="_GoBack"/>
      <w:bookmarkEnd w:id="0"/>
    </w:p>
    <w:p w:rsidR="004325FD" w:rsidRPr="004325FD" w:rsidRDefault="004325FD" w:rsidP="004325FD">
      <w:pPr>
        <w:shd w:val="clear" w:color="auto" w:fill="FBFAF6"/>
        <w:spacing w:after="0" w:line="312" w:lineRule="atLeast"/>
        <w:rPr>
          <w:rFonts w:ascii="Arial" w:eastAsia="Times New Roman" w:hAnsi="Arial" w:cs="Arial"/>
          <w:b/>
          <w:bCs/>
          <w:color w:val="484848"/>
          <w:spacing w:val="3"/>
          <w:sz w:val="38"/>
          <w:szCs w:val="38"/>
        </w:rPr>
      </w:pPr>
    </w:p>
    <w:p w:rsidR="004325FD" w:rsidRPr="004325FD" w:rsidRDefault="004325FD" w:rsidP="004325FD">
      <w:pPr>
        <w:spacing w:after="0" w:line="240" w:lineRule="auto"/>
        <w:rPr>
          <w:rFonts w:ascii="Times New Roman" w:eastAsia="Times New Roman" w:hAnsi="Times New Roman" w:cs="Times New Roman"/>
          <w:sz w:val="24"/>
          <w:szCs w:val="24"/>
        </w:rPr>
      </w:pPr>
      <w:proofErr w:type="gramStart"/>
      <w:r w:rsidRPr="004325FD">
        <w:rPr>
          <w:rFonts w:ascii="Arial" w:eastAsia="Times New Roman" w:hAnsi="Arial" w:cs="Arial"/>
          <w:b/>
          <w:bCs/>
          <w:i/>
          <w:iCs/>
          <w:color w:val="484848"/>
          <w:spacing w:val="3"/>
          <w:sz w:val="24"/>
          <w:szCs w:val="24"/>
          <w:shd w:val="clear" w:color="auto" w:fill="FBFAF6"/>
        </w:rPr>
        <w:t>Rule 97.</w:t>
      </w:r>
      <w:proofErr w:type="gramEnd"/>
      <w:r w:rsidRPr="004325FD">
        <w:rPr>
          <w:rFonts w:ascii="Arial" w:eastAsia="Times New Roman" w:hAnsi="Arial" w:cs="Arial"/>
          <w:b/>
          <w:bCs/>
          <w:i/>
          <w:iCs/>
          <w:color w:val="484848"/>
          <w:spacing w:val="3"/>
          <w:sz w:val="24"/>
          <w:szCs w:val="24"/>
          <w:shd w:val="clear" w:color="auto" w:fill="FBFAF6"/>
        </w:rPr>
        <w:t xml:space="preserve"> The use of human shields is prohibited.</w:t>
      </w:r>
      <w:r w:rsidRPr="004325FD">
        <w:rPr>
          <w:rFonts w:ascii="Arial" w:eastAsia="Times New Roman" w:hAnsi="Arial" w:cs="Arial"/>
          <w:b/>
          <w:bCs/>
          <w:i/>
          <w:iCs/>
          <w:color w:val="484848"/>
          <w:spacing w:val="3"/>
          <w:sz w:val="24"/>
          <w:szCs w:val="24"/>
          <w:shd w:val="clear" w:color="auto" w:fill="FBFAF6"/>
        </w:rPr>
        <w:br/>
      </w:r>
    </w:p>
    <w:p w:rsidR="004325FD" w:rsidRPr="004325FD" w:rsidRDefault="004325FD" w:rsidP="004325FD">
      <w:pPr>
        <w:shd w:val="clear" w:color="auto" w:fill="FBFAF6"/>
        <w:spacing w:after="0" w:line="264" w:lineRule="atLeast"/>
        <w:rPr>
          <w:rFonts w:ascii="Arial" w:eastAsia="Times New Roman" w:hAnsi="Arial" w:cs="Arial"/>
          <w:b/>
          <w:bCs/>
          <w:color w:val="484848"/>
          <w:spacing w:val="3"/>
          <w:sz w:val="24"/>
          <w:szCs w:val="24"/>
        </w:rPr>
      </w:pPr>
      <w:r w:rsidRPr="004325FD">
        <w:rPr>
          <w:rFonts w:ascii="Arial" w:eastAsia="Times New Roman" w:hAnsi="Arial" w:cs="Arial"/>
          <w:b/>
          <w:bCs/>
          <w:color w:val="484848"/>
          <w:spacing w:val="3"/>
          <w:sz w:val="24"/>
          <w:szCs w:val="24"/>
        </w:rPr>
        <w:t>Summary</w:t>
      </w:r>
    </w:p>
    <w:p w:rsidR="004325FD" w:rsidRPr="004325FD" w:rsidRDefault="004325FD" w:rsidP="004325FD">
      <w:pPr>
        <w:spacing w:after="0" w:line="240" w:lineRule="auto"/>
        <w:rPr>
          <w:rFonts w:ascii="Times New Roman" w:eastAsia="Times New Roman" w:hAnsi="Times New Roman" w:cs="Times New Roman"/>
          <w:sz w:val="24"/>
          <w:szCs w:val="24"/>
        </w:rPr>
      </w:pPr>
      <w:r w:rsidRPr="004325FD">
        <w:rPr>
          <w:rFonts w:ascii="Arial" w:eastAsia="Times New Roman" w:hAnsi="Arial" w:cs="Arial"/>
          <w:color w:val="484848"/>
          <w:spacing w:val="3"/>
          <w:sz w:val="19"/>
          <w:szCs w:val="19"/>
          <w:shd w:val="clear" w:color="auto" w:fill="FBFAF6"/>
        </w:rPr>
        <w:t>State practice establishes this rule as a norm of customary international law applicable in both international and non-international armed conflicts.</w:t>
      </w:r>
      <w:r w:rsidRPr="004325FD">
        <w:rPr>
          <w:rFonts w:ascii="Arial" w:eastAsia="Times New Roman" w:hAnsi="Arial" w:cs="Arial"/>
          <w:color w:val="484848"/>
          <w:spacing w:val="3"/>
          <w:sz w:val="19"/>
          <w:szCs w:val="19"/>
          <w:shd w:val="clear" w:color="auto" w:fill="FBFAF6"/>
        </w:rPr>
        <w:br/>
      </w:r>
    </w:p>
    <w:p w:rsidR="004325FD" w:rsidRPr="004325FD" w:rsidRDefault="004325FD" w:rsidP="004325FD">
      <w:pPr>
        <w:shd w:val="clear" w:color="auto" w:fill="FBFAF6"/>
        <w:spacing w:after="0" w:line="264" w:lineRule="atLeast"/>
        <w:rPr>
          <w:rFonts w:ascii="Arial" w:eastAsia="Times New Roman" w:hAnsi="Arial" w:cs="Arial"/>
          <w:b/>
          <w:bCs/>
          <w:color w:val="484848"/>
          <w:spacing w:val="3"/>
          <w:sz w:val="24"/>
          <w:szCs w:val="24"/>
        </w:rPr>
      </w:pPr>
      <w:r w:rsidRPr="004325FD">
        <w:rPr>
          <w:rFonts w:ascii="Arial" w:eastAsia="Times New Roman" w:hAnsi="Arial" w:cs="Arial"/>
          <w:b/>
          <w:bCs/>
          <w:color w:val="484848"/>
          <w:spacing w:val="3"/>
          <w:sz w:val="24"/>
          <w:szCs w:val="24"/>
        </w:rPr>
        <w:t>International and non-international armed conflicts</w:t>
      </w:r>
    </w:p>
    <w:p w:rsidR="004325FD" w:rsidRPr="004325FD" w:rsidRDefault="004325FD" w:rsidP="004325FD">
      <w:pPr>
        <w:spacing w:after="0" w:line="240" w:lineRule="auto"/>
        <w:rPr>
          <w:rFonts w:ascii="Times New Roman" w:eastAsia="Times New Roman" w:hAnsi="Times New Roman" w:cs="Times New Roman"/>
          <w:sz w:val="24"/>
          <w:szCs w:val="24"/>
        </w:rPr>
      </w:pPr>
      <w:r w:rsidRPr="004325FD">
        <w:rPr>
          <w:rFonts w:ascii="Arial" w:eastAsia="Times New Roman" w:hAnsi="Arial" w:cs="Arial"/>
          <w:color w:val="484848"/>
          <w:spacing w:val="3"/>
          <w:sz w:val="19"/>
          <w:szCs w:val="19"/>
          <w:shd w:val="clear" w:color="auto" w:fill="FBFAF6"/>
        </w:rPr>
        <w:t>In the context of international armed conflicts, this rule is set forth in the Third Geneva Convention (with respect to prisoners of war), the Fourth Geneva Convention (with respect to protected civilians) and Additional Protocol I (with respect to civilians in general).</w:t>
      </w:r>
      <w:bookmarkStart w:id="1" w:name="refFn_61_1"/>
      <w:r w:rsidRPr="004325FD">
        <w:rPr>
          <w:rFonts w:ascii="Arial" w:eastAsia="Times New Roman" w:hAnsi="Arial" w:cs="Arial"/>
          <w:color w:val="484848"/>
          <w:spacing w:val="3"/>
          <w:sz w:val="19"/>
          <w:szCs w:val="19"/>
          <w:shd w:val="clear" w:color="auto" w:fill="FBFAF6"/>
        </w:rPr>
        <w:fldChar w:fldCharType="begin"/>
      </w:r>
      <w:r w:rsidRPr="004325FD">
        <w:rPr>
          <w:rFonts w:ascii="Arial" w:eastAsia="Times New Roman" w:hAnsi="Arial" w:cs="Arial"/>
          <w:color w:val="484848"/>
          <w:spacing w:val="3"/>
          <w:sz w:val="19"/>
          <w:szCs w:val="19"/>
          <w:shd w:val="clear" w:color="auto" w:fill="FBFAF6"/>
        </w:rPr>
        <w:instrText xml:space="preserve"> HYPERLINK "https://www.icrc.org/customary-ihl/eng/docs/v1_rul_rule97" \l "Fn_61_1" </w:instrText>
      </w:r>
      <w:r w:rsidRPr="004325FD">
        <w:rPr>
          <w:rFonts w:ascii="Arial" w:eastAsia="Times New Roman" w:hAnsi="Arial" w:cs="Arial"/>
          <w:color w:val="484848"/>
          <w:spacing w:val="3"/>
          <w:sz w:val="19"/>
          <w:szCs w:val="19"/>
          <w:shd w:val="clear" w:color="auto" w:fill="FBFAF6"/>
        </w:rPr>
        <w:fldChar w:fldCharType="separate"/>
      </w:r>
      <w:r w:rsidRPr="004325FD">
        <w:rPr>
          <w:rFonts w:ascii="Arial" w:eastAsia="Times New Roman" w:hAnsi="Arial" w:cs="Arial"/>
          <w:i/>
          <w:iCs/>
          <w:color w:val="4C7C8E"/>
          <w:spacing w:val="3"/>
          <w:sz w:val="15"/>
          <w:szCs w:val="15"/>
          <w:shd w:val="clear" w:color="auto" w:fill="FBFAF6"/>
        </w:rPr>
        <w:t>[1]</w:t>
      </w:r>
      <w:r w:rsidRPr="004325FD">
        <w:rPr>
          <w:rFonts w:ascii="Arial" w:eastAsia="Times New Roman" w:hAnsi="Arial" w:cs="Arial"/>
          <w:color w:val="484848"/>
          <w:spacing w:val="3"/>
          <w:sz w:val="19"/>
          <w:szCs w:val="19"/>
          <w:shd w:val="clear" w:color="auto" w:fill="FBFAF6"/>
        </w:rPr>
        <w:fldChar w:fldCharType="end"/>
      </w:r>
      <w:bookmarkEnd w:id="1"/>
      <w:r w:rsidRPr="004325FD">
        <w:rPr>
          <w:rFonts w:ascii="Arial" w:eastAsia="Times New Roman" w:hAnsi="Arial" w:cs="Arial"/>
          <w:color w:val="484848"/>
          <w:spacing w:val="3"/>
          <w:sz w:val="19"/>
          <w:szCs w:val="19"/>
          <w:shd w:val="clear" w:color="auto" w:fill="FBFAF6"/>
        </w:rPr>
        <w:t>  Under the Statute of the International Criminal Court, “utilizing the presence of a civilian or other protected person to render certain points, areas or military forces immune from military operations” constitutes a war crime in international armed conflicts.</w:t>
      </w:r>
      <w:bookmarkStart w:id="2" w:name="refFn_61_2"/>
      <w:r w:rsidRPr="004325FD">
        <w:rPr>
          <w:rFonts w:ascii="Arial" w:eastAsia="Times New Roman" w:hAnsi="Arial" w:cs="Arial"/>
          <w:color w:val="484848"/>
          <w:spacing w:val="3"/>
          <w:sz w:val="19"/>
          <w:szCs w:val="19"/>
          <w:shd w:val="clear" w:color="auto" w:fill="FBFAF6"/>
        </w:rPr>
        <w:fldChar w:fldCharType="begin"/>
      </w:r>
      <w:r w:rsidRPr="004325FD">
        <w:rPr>
          <w:rFonts w:ascii="Arial" w:eastAsia="Times New Roman" w:hAnsi="Arial" w:cs="Arial"/>
          <w:color w:val="484848"/>
          <w:spacing w:val="3"/>
          <w:sz w:val="19"/>
          <w:szCs w:val="19"/>
          <w:shd w:val="clear" w:color="auto" w:fill="FBFAF6"/>
        </w:rPr>
        <w:instrText xml:space="preserve"> HYPERLINK "https://www.icrc.org/customary-ihl/eng/docs/v1_rul_rule97" \l "Fn_61_2" </w:instrText>
      </w:r>
      <w:r w:rsidRPr="004325FD">
        <w:rPr>
          <w:rFonts w:ascii="Arial" w:eastAsia="Times New Roman" w:hAnsi="Arial" w:cs="Arial"/>
          <w:color w:val="484848"/>
          <w:spacing w:val="3"/>
          <w:sz w:val="19"/>
          <w:szCs w:val="19"/>
          <w:shd w:val="clear" w:color="auto" w:fill="FBFAF6"/>
        </w:rPr>
        <w:fldChar w:fldCharType="separate"/>
      </w:r>
      <w:r w:rsidRPr="004325FD">
        <w:rPr>
          <w:rFonts w:ascii="Arial" w:eastAsia="Times New Roman" w:hAnsi="Arial" w:cs="Arial"/>
          <w:i/>
          <w:iCs/>
          <w:color w:val="4C7C8E"/>
          <w:spacing w:val="3"/>
          <w:sz w:val="15"/>
          <w:szCs w:val="15"/>
          <w:shd w:val="clear" w:color="auto" w:fill="FBFAF6"/>
        </w:rPr>
        <w:t>[2]</w:t>
      </w:r>
      <w:r w:rsidRPr="004325FD">
        <w:rPr>
          <w:rFonts w:ascii="Arial" w:eastAsia="Times New Roman" w:hAnsi="Arial" w:cs="Arial"/>
          <w:color w:val="484848"/>
          <w:spacing w:val="3"/>
          <w:sz w:val="19"/>
          <w:szCs w:val="19"/>
          <w:shd w:val="clear" w:color="auto" w:fill="FBFAF6"/>
        </w:rPr>
        <w:fldChar w:fldCharType="end"/>
      </w:r>
      <w:bookmarkEnd w:id="2"/>
      <w:r w:rsidRPr="004325FD">
        <w:rPr>
          <w:rFonts w:ascii="Arial" w:eastAsia="Times New Roman" w:hAnsi="Arial" w:cs="Arial"/>
          <w:color w:val="484848"/>
          <w:spacing w:val="3"/>
          <w:sz w:val="19"/>
          <w:szCs w:val="19"/>
          <w:shd w:val="clear" w:color="auto" w:fill="FBFAF6"/>
        </w:rPr>
        <w:t> </w:t>
      </w:r>
      <w:r w:rsidRPr="004325FD">
        <w:rPr>
          <w:rFonts w:ascii="Arial" w:eastAsia="Times New Roman" w:hAnsi="Arial" w:cs="Arial"/>
          <w:color w:val="484848"/>
          <w:spacing w:val="3"/>
          <w:sz w:val="19"/>
          <w:szCs w:val="19"/>
          <w:shd w:val="clear" w:color="auto" w:fill="FBFAF6"/>
        </w:rPr>
        <w:br/>
        <w:t>The prohibition of using human shields is contained in numerous military manuals, many of which extend the prohibition to all civilians.</w:t>
      </w:r>
      <w:bookmarkStart w:id="3" w:name="refFn_61_3"/>
      <w:r w:rsidRPr="004325FD">
        <w:rPr>
          <w:rFonts w:ascii="Arial" w:eastAsia="Times New Roman" w:hAnsi="Arial" w:cs="Arial"/>
          <w:color w:val="484848"/>
          <w:spacing w:val="3"/>
          <w:sz w:val="19"/>
          <w:szCs w:val="19"/>
          <w:shd w:val="clear" w:color="auto" w:fill="FBFAF6"/>
        </w:rPr>
        <w:fldChar w:fldCharType="begin"/>
      </w:r>
      <w:r w:rsidRPr="004325FD">
        <w:rPr>
          <w:rFonts w:ascii="Arial" w:eastAsia="Times New Roman" w:hAnsi="Arial" w:cs="Arial"/>
          <w:color w:val="484848"/>
          <w:spacing w:val="3"/>
          <w:sz w:val="19"/>
          <w:szCs w:val="19"/>
          <w:shd w:val="clear" w:color="auto" w:fill="FBFAF6"/>
        </w:rPr>
        <w:instrText xml:space="preserve"> HYPERLINK "https://www.icrc.org/customary-ihl/eng/docs/v1_rul_rule97" \l "Fn_61_3" </w:instrText>
      </w:r>
      <w:r w:rsidRPr="004325FD">
        <w:rPr>
          <w:rFonts w:ascii="Arial" w:eastAsia="Times New Roman" w:hAnsi="Arial" w:cs="Arial"/>
          <w:color w:val="484848"/>
          <w:spacing w:val="3"/>
          <w:sz w:val="19"/>
          <w:szCs w:val="19"/>
          <w:shd w:val="clear" w:color="auto" w:fill="FBFAF6"/>
        </w:rPr>
        <w:fldChar w:fldCharType="separate"/>
      </w:r>
      <w:r w:rsidRPr="004325FD">
        <w:rPr>
          <w:rFonts w:ascii="Arial" w:eastAsia="Times New Roman" w:hAnsi="Arial" w:cs="Arial"/>
          <w:i/>
          <w:iCs/>
          <w:color w:val="4C7C8E"/>
          <w:spacing w:val="3"/>
          <w:sz w:val="15"/>
          <w:szCs w:val="15"/>
          <w:shd w:val="clear" w:color="auto" w:fill="FBFAF6"/>
        </w:rPr>
        <w:t>[3]</w:t>
      </w:r>
      <w:r w:rsidRPr="004325FD">
        <w:rPr>
          <w:rFonts w:ascii="Arial" w:eastAsia="Times New Roman" w:hAnsi="Arial" w:cs="Arial"/>
          <w:color w:val="484848"/>
          <w:spacing w:val="3"/>
          <w:sz w:val="19"/>
          <w:szCs w:val="19"/>
          <w:shd w:val="clear" w:color="auto" w:fill="FBFAF6"/>
        </w:rPr>
        <w:fldChar w:fldCharType="end"/>
      </w:r>
      <w:bookmarkEnd w:id="3"/>
      <w:r w:rsidRPr="004325FD">
        <w:rPr>
          <w:rFonts w:ascii="Arial" w:eastAsia="Times New Roman" w:hAnsi="Arial" w:cs="Arial"/>
          <w:color w:val="484848"/>
          <w:spacing w:val="3"/>
          <w:sz w:val="19"/>
          <w:szCs w:val="19"/>
          <w:shd w:val="clear" w:color="auto" w:fill="FBFAF6"/>
        </w:rPr>
        <w:t>  Using human shields constitutes a criminal offence under the legislation of many States.</w:t>
      </w:r>
      <w:bookmarkStart w:id="4" w:name="refFn_61_4"/>
      <w:r w:rsidRPr="004325FD">
        <w:rPr>
          <w:rFonts w:ascii="Arial" w:eastAsia="Times New Roman" w:hAnsi="Arial" w:cs="Arial"/>
          <w:color w:val="484848"/>
          <w:spacing w:val="3"/>
          <w:sz w:val="19"/>
          <w:szCs w:val="19"/>
          <w:shd w:val="clear" w:color="auto" w:fill="FBFAF6"/>
        </w:rPr>
        <w:fldChar w:fldCharType="begin"/>
      </w:r>
      <w:r w:rsidRPr="004325FD">
        <w:rPr>
          <w:rFonts w:ascii="Arial" w:eastAsia="Times New Roman" w:hAnsi="Arial" w:cs="Arial"/>
          <w:color w:val="484848"/>
          <w:spacing w:val="3"/>
          <w:sz w:val="19"/>
          <w:szCs w:val="19"/>
          <w:shd w:val="clear" w:color="auto" w:fill="FBFAF6"/>
        </w:rPr>
        <w:instrText xml:space="preserve"> HYPERLINK "https://www.icrc.org/customary-ihl/eng/docs/v1_rul_rule97" \l "Fn_61_4" </w:instrText>
      </w:r>
      <w:r w:rsidRPr="004325FD">
        <w:rPr>
          <w:rFonts w:ascii="Arial" w:eastAsia="Times New Roman" w:hAnsi="Arial" w:cs="Arial"/>
          <w:color w:val="484848"/>
          <w:spacing w:val="3"/>
          <w:sz w:val="19"/>
          <w:szCs w:val="19"/>
          <w:shd w:val="clear" w:color="auto" w:fill="FBFAF6"/>
        </w:rPr>
        <w:fldChar w:fldCharType="separate"/>
      </w:r>
      <w:r w:rsidRPr="004325FD">
        <w:rPr>
          <w:rFonts w:ascii="Arial" w:eastAsia="Times New Roman" w:hAnsi="Arial" w:cs="Arial"/>
          <w:i/>
          <w:iCs/>
          <w:color w:val="4C7C8E"/>
          <w:spacing w:val="3"/>
          <w:sz w:val="15"/>
          <w:szCs w:val="15"/>
          <w:shd w:val="clear" w:color="auto" w:fill="FBFAF6"/>
        </w:rPr>
        <w:t>[4]</w:t>
      </w:r>
      <w:r w:rsidRPr="004325FD">
        <w:rPr>
          <w:rFonts w:ascii="Arial" w:eastAsia="Times New Roman" w:hAnsi="Arial" w:cs="Arial"/>
          <w:color w:val="484848"/>
          <w:spacing w:val="3"/>
          <w:sz w:val="19"/>
          <w:szCs w:val="19"/>
          <w:shd w:val="clear" w:color="auto" w:fill="FBFAF6"/>
        </w:rPr>
        <w:fldChar w:fldCharType="end"/>
      </w:r>
      <w:bookmarkEnd w:id="4"/>
      <w:r w:rsidRPr="004325FD">
        <w:rPr>
          <w:rFonts w:ascii="Arial" w:eastAsia="Times New Roman" w:hAnsi="Arial" w:cs="Arial"/>
          <w:color w:val="484848"/>
          <w:spacing w:val="3"/>
          <w:sz w:val="19"/>
          <w:szCs w:val="19"/>
          <w:shd w:val="clear" w:color="auto" w:fill="FBFAF6"/>
        </w:rPr>
        <w:t>  This practice includes that of States not, or not at the time, party to Additional Protocol I or to the Statute of the International Criminal Court.</w:t>
      </w:r>
      <w:bookmarkStart w:id="5" w:name="refFn_61_5"/>
      <w:r w:rsidRPr="004325FD">
        <w:rPr>
          <w:rFonts w:ascii="Arial" w:eastAsia="Times New Roman" w:hAnsi="Arial" w:cs="Arial"/>
          <w:color w:val="484848"/>
          <w:spacing w:val="3"/>
          <w:sz w:val="19"/>
          <w:szCs w:val="19"/>
          <w:shd w:val="clear" w:color="auto" w:fill="FBFAF6"/>
        </w:rPr>
        <w:fldChar w:fldCharType="begin"/>
      </w:r>
      <w:r w:rsidRPr="004325FD">
        <w:rPr>
          <w:rFonts w:ascii="Arial" w:eastAsia="Times New Roman" w:hAnsi="Arial" w:cs="Arial"/>
          <w:color w:val="484848"/>
          <w:spacing w:val="3"/>
          <w:sz w:val="19"/>
          <w:szCs w:val="19"/>
          <w:shd w:val="clear" w:color="auto" w:fill="FBFAF6"/>
        </w:rPr>
        <w:instrText xml:space="preserve"> HYPERLINK "https://www.icrc.org/customary-ihl/eng/docs/v1_rul_rule97" \l "Fn_61_5" </w:instrText>
      </w:r>
      <w:r w:rsidRPr="004325FD">
        <w:rPr>
          <w:rFonts w:ascii="Arial" w:eastAsia="Times New Roman" w:hAnsi="Arial" w:cs="Arial"/>
          <w:color w:val="484848"/>
          <w:spacing w:val="3"/>
          <w:sz w:val="19"/>
          <w:szCs w:val="19"/>
          <w:shd w:val="clear" w:color="auto" w:fill="FBFAF6"/>
        </w:rPr>
        <w:fldChar w:fldCharType="separate"/>
      </w:r>
      <w:r w:rsidRPr="004325FD">
        <w:rPr>
          <w:rFonts w:ascii="Arial" w:eastAsia="Times New Roman" w:hAnsi="Arial" w:cs="Arial"/>
          <w:i/>
          <w:iCs/>
          <w:color w:val="4C7C8E"/>
          <w:spacing w:val="3"/>
          <w:sz w:val="15"/>
          <w:szCs w:val="15"/>
          <w:shd w:val="clear" w:color="auto" w:fill="FBFAF6"/>
        </w:rPr>
        <w:t>[5]</w:t>
      </w:r>
      <w:r w:rsidRPr="004325FD">
        <w:rPr>
          <w:rFonts w:ascii="Arial" w:eastAsia="Times New Roman" w:hAnsi="Arial" w:cs="Arial"/>
          <w:color w:val="484848"/>
          <w:spacing w:val="3"/>
          <w:sz w:val="19"/>
          <w:szCs w:val="19"/>
          <w:shd w:val="clear" w:color="auto" w:fill="FBFAF6"/>
        </w:rPr>
        <w:fldChar w:fldCharType="end"/>
      </w:r>
      <w:bookmarkEnd w:id="5"/>
      <w:r w:rsidRPr="004325FD">
        <w:rPr>
          <w:rFonts w:ascii="Arial" w:eastAsia="Times New Roman" w:hAnsi="Arial" w:cs="Arial"/>
          <w:color w:val="484848"/>
          <w:spacing w:val="3"/>
          <w:sz w:val="19"/>
          <w:szCs w:val="19"/>
          <w:shd w:val="clear" w:color="auto" w:fill="FBFAF6"/>
        </w:rPr>
        <w:t>  In 1990 and 1991, there was extensive condemnation by States of the use of prisoners of war and civilians by Iraq as human shields, and the United States declared that such use amounted to a war crime.</w:t>
      </w:r>
      <w:bookmarkStart w:id="6" w:name="refFn_61_6"/>
      <w:r w:rsidRPr="004325FD">
        <w:rPr>
          <w:rFonts w:ascii="Arial" w:eastAsia="Times New Roman" w:hAnsi="Arial" w:cs="Arial"/>
          <w:color w:val="484848"/>
          <w:spacing w:val="3"/>
          <w:sz w:val="19"/>
          <w:szCs w:val="19"/>
          <w:shd w:val="clear" w:color="auto" w:fill="FBFAF6"/>
        </w:rPr>
        <w:fldChar w:fldCharType="begin"/>
      </w:r>
      <w:r w:rsidRPr="004325FD">
        <w:rPr>
          <w:rFonts w:ascii="Arial" w:eastAsia="Times New Roman" w:hAnsi="Arial" w:cs="Arial"/>
          <w:color w:val="484848"/>
          <w:spacing w:val="3"/>
          <w:sz w:val="19"/>
          <w:szCs w:val="19"/>
          <w:shd w:val="clear" w:color="auto" w:fill="FBFAF6"/>
        </w:rPr>
        <w:instrText xml:space="preserve"> HYPERLINK "https://www.icrc.org/customary-ihl/eng/docs/v1_rul_rule97" \l "Fn_61_6" </w:instrText>
      </w:r>
      <w:r w:rsidRPr="004325FD">
        <w:rPr>
          <w:rFonts w:ascii="Arial" w:eastAsia="Times New Roman" w:hAnsi="Arial" w:cs="Arial"/>
          <w:color w:val="484848"/>
          <w:spacing w:val="3"/>
          <w:sz w:val="19"/>
          <w:szCs w:val="19"/>
          <w:shd w:val="clear" w:color="auto" w:fill="FBFAF6"/>
        </w:rPr>
        <w:fldChar w:fldCharType="separate"/>
      </w:r>
      <w:r w:rsidRPr="004325FD">
        <w:rPr>
          <w:rFonts w:ascii="Arial" w:eastAsia="Times New Roman" w:hAnsi="Arial" w:cs="Arial"/>
          <w:i/>
          <w:iCs/>
          <w:color w:val="4C7C8E"/>
          <w:spacing w:val="3"/>
          <w:sz w:val="15"/>
          <w:szCs w:val="15"/>
          <w:shd w:val="clear" w:color="auto" w:fill="FBFAF6"/>
        </w:rPr>
        <w:t>[6]</w:t>
      </w:r>
      <w:r w:rsidRPr="004325FD">
        <w:rPr>
          <w:rFonts w:ascii="Arial" w:eastAsia="Times New Roman" w:hAnsi="Arial" w:cs="Arial"/>
          <w:color w:val="484848"/>
          <w:spacing w:val="3"/>
          <w:sz w:val="19"/>
          <w:szCs w:val="19"/>
          <w:shd w:val="clear" w:color="auto" w:fill="FBFAF6"/>
        </w:rPr>
        <w:fldChar w:fldCharType="end"/>
      </w:r>
      <w:bookmarkEnd w:id="6"/>
      <w:r w:rsidRPr="004325FD">
        <w:rPr>
          <w:rFonts w:ascii="Arial" w:eastAsia="Times New Roman" w:hAnsi="Arial" w:cs="Arial"/>
          <w:color w:val="484848"/>
          <w:spacing w:val="3"/>
          <w:sz w:val="19"/>
          <w:szCs w:val="19"/>
          <w:shd w:val="clear" w:color="auto" w:fill="FBFAF6"/>
        </w:rPr>
        <w:t xml:space="preserve">  The use of prisoners of war as human shields during the Second World War was the subject of war crimes trials by the UK Military Court at </w:t>
      </w:r>
      <w:proofErr w:type="spellStart"/>
      <w:r w:rsidRPr="004325FD">
        <w:rPr>
          <w:rFonts w:ascii="Arial" w:eastAsia="Times New Roman" w:hAnsi="Arial" w:cs="Arial"/>
          <w:color w:val="484848"/>
          <w:spacing w:val="3"/>
          <w:sz w:val="19"/>
          <w:szCs w:val="19"/>
          <w:shd w:val="clear" w:color="auto" w:fill="FBFAF6"/>
        </w:rPr>
        <w:t>Lüneberg</w:t>
      </w:r>
      <w:proofErr w:type="spellEnd"/>
      <w:r w:rsidRPr="004325FD">
        <w:rPr>
          <w:rFonts w:ascii="Arial" w:eastAsia="Times New Roman" w:hAnsi="Arial" w:cs="Arial"/>
          <w:color w:val="484848"/>
          <w:spacing w:val="3"/>
          <w:sz w:val="19"/>
          <w:szCs w:val="19"/>
          <w:shd w:val="clear" w:color="auto" w:fill="FBFAF6"/>
        </w:rPr>
        <w:t xml:space="preserve"> in the </w:t>
      </w:r>
      <w:r w:rsidRPr="004325FD">
        <w:rPr>
          <w:rFonts w:ascii="Arial" w:eastAsia="Times New Roman" w:hAnsi="Arial" w:cs="Arial"/>
          <w:i/>
          <w:iCs/>
          <w:color w:val="484848"/>
          <w:spacing w:val="3"/>
          <w:sz w:val="19"/>
          <w:szCs w:val="19"/>
          <w:shd w:val="clear" w:color="auto" w:fill="FBFAF6"/>
        </w:rPr>
        <w:t>Student case </w:t>
      </w:r>
      <w:r w:rsidRPr="004325FD">
        <w:rPr>
          <w:rFonts w:ascii="Arial" w:eastAsia="Times New Roman" w:hAnsi="Arial" w:cs="Arial"/>
          <w:color w:val="484848"/>
          <w:spacing w:val="3"/>
          <w:sz w:val="19"/>
          <w:szCs w:val="19"/>
          <w:shd w:val="clear" w:color="auto" w:fill="FBFAF6"/>
        </w:rPr>
        <w:t>in 1946 and by the US Military Tribunal at Nuremberg in the </w:t>
      </w:r>
      <w:r w:rsidRPr="004325FD">
        <w:rPr>
          <w:rFonts w:ascii="Arial" w:eastAsia="Times New Roman" w:hAnsi="Arial" w:cs="Arial"/>
          <w:i/>
          <w:iCs/>
          <w:color w:val="484848"/>
          <w:spacing w:val="3"/>
          <w:sz w:val="19"/>
          <w:szCs w:val="19"/>
          <w:shd w:val="clear" w:color="auto" w:fill="FBFAF6"/>
        </w:rPr>
        <w:t xml:space="preserve">Von </w:t>
      </w:r>
      <w:proofErr w:type="spellStart"/>
      <w:r w:rsidRPr="004325FD">
        <w:rPr>
          <w:rFonts w:ascii="Arial" w:eastAsia="Times New Roman" w:hAnsi="Arial" w:cs="Arial"/>
          <w:i/>
          <w:iCs/>
          <w:color w:val="484848"/>
          <w:spacing w:val="3"/>
          <w:sz w:val="19"/>
          <w:szCs w:val="19"/>
          <w:shd w:val="clear" w:color="auto" w:fill="FBFAF6"/>
        </w:rPr>
        <w:t>Leeb</w:t>
      </w:r>
      <w:proofErr w:type="spellEnd"/>
      <w:r w:rsidRPr="004325FD">
        <w:rPr>
          <w:rFonts w:ascii="Arial" w:eastAsia="Times New Roman" w:hAnsi="Arial" w:cs="Arial"/>
          <w:i/>
          <w:iCs/>
          <w:color w:val="484848"/>
          <w:spacing w:val="3"/>
          <w:sz w:val="19"/>
          <w:szCs w:val="19"/>
          <w:shd w:val="clear" w:color="auto" w:fill="FBFAF6"/>
        </w:rPr>
        <w:t xml:space="preserve"> (The High Command Trial) case </w:t>
      </w:r>
      <w:r w:rsidRPr="004325FD">
        <w:rPr>
          <w:rFonts w:ascii="Arial" w:eastAsia="Times New Roman" w:hAnsi="Arial" w:cs="Arial"/>
          <w:color w:val="484848"/>
          <w:spacing w:val="3"/>
          <w:sz w:val="19"/>
          <w:szCs w:val="19"/>
          <w:shd w:val="clear" w:color="auto" w:fill="FBFAF6"/>
        </w:rPr>
        <w:t>in 1948.</w:t>
      </w:r>
      <w:bookmarkStart w:id="7" w:name="refFn_61_7"/>
      <w:r w:rsidRPr="004325FD">
        <w:rPr>
          <w:rFonts w:ascii="Arial" w:eastAsia="Times New Roman" w:hAnsi="Arial" w:cs="Arial"/>
          <w:color w:val="484848"/>
          <w:spacing w:val="3"/>
          <w:sz w:val="19"/>
          <w:szCs w:val="19"/>
          <w:shd w:val="clear" w:color="auto" w:fill="FBFAF6"/>
        </w:rPr>
        <w:fldChar w:fldCharType="begin"/>
      </w:r>
      <w:r w:rsidRPr="004325FD">
        <w:rPr>
          <w:rFonts w:ascii="Arial" w:eastAsia="Times New Roman" w:hAnsi="Arial" w:cs="Arial"/>
          <w:color w:val="484848"/>
          <w:spacing w:val="3"/>
          <w:sz w:val="19"/>
          <w:szCs w:val="19"/>
          <w:shd w:val="clear" w:color="auto" w:fill="FBFAF6"/>
        </w:rPr>
        <w:instrText xml:space="preserve"> HYPERLINK "https://www.icrc.org/customary-ihl/eng/docs/v1_rul_rule97" \l "Fn_61_7" </w:instrText>
      </w:r>
      <w:r w:rsidRPr="004325FD">
        <w:rPr>
          <w:rFonts w:ascii="Arial" w:eastAsia="Times New Roman" w:hAnsi="Arial" w:cs="Arial"/>
          <w:color w:val="484848"/>
          <w:spacing w:val="3"/>
          <w:sz w:val="19"/>
          <w:szCs w:val="19"/>
          <w:shd w:val="clear" w:color="auto" w:fill="FBFAF6"/>
        </w:rPr>
        <w:fldChar w:fldCharType="separate"/>
      </w:r>
      <w:r w:rsidRPr="004325FD">
        <w:rPr>
          <w:rFonts w:ascii="Arial" w:eastAsia="Times New Roman" w:hAnsi="Arial" w:cs="Arial"/>
          <w:i/>
          <w:iCs/>
          <w:color w:val="4C7C8E"/>
          <w:spacing w:val="3"/>
          <w:sz w:val="15"/>
          <w:szCs w:val="15"/>
          <w:shd w:val="clear" w:color="auto" w:fill="FBFAF6"/>
        </w:rPr>
        <w:t>[7]</w:t>
      </w:r>
      <w:r w:rsidRPr="004325FD">
        <w:rPr>
          <w:rFonts w:ascii="Arial" w:eastAsia="Times New Roman" w:hAnsi="Arial" w:cs="Arial"/>
          <w:color w:val="484848"/>
          <w:spacing w:val="3"/>
          <w:sz w:val="19"/>
          <w:szCs w:val="19"/>
          <w:shd w:val="clear" w:color="auto" w:fill="FBFAF6"/>
        </w:rPr>
        <w:fldChar w:fldCharType="end"/>
      </w:r>
      <w:bookmarkEnd w:id="7"/>
      <w:r w:rsidRPr="004325FD">
        <w:rPr>
          <w:rFonts w:ascii="Arial" w:eastAsia="Times New Roman" w:hAnsi="Arial" w:cs="Arial"/>
          <w:color w:val="484848"/>
          <w:spacing w:val="3"/>
          <w:sz w:val="19"/>
          <w:szCs w:val="19"/>
          <w:shd w:val="clear" w:color="auto" w:fill="FBFAF6"/>
        </w:rPr>
        <w:t>  In the </w:t>
      </w:r>
      <w:proofErr w:type="spellStart"/>
      <w:r w:rsidRPr="004325FD">
        <w:rPr>
          <w:rFonts w:ascii="Arial" w:eastAsia="Times New Roman" w:hAnsi="Arial" w:cs="Arial"/>
          <w:i/>
          <w:iCs/>
          <w:color w:val="484848"/>
          <w:spacing w:val="3"/>
          <w:sz w:val="19"/>
          <w:szCs w:val="19"/>
          <w:shd w:val="clear" w:color="auto" w:fill="FBFAF6"/>
        </w:rPr>
        <w:t>Karadžić</w:t>
      </w:r>
      <w:proofErr w:type="spellEnd"/>
      <w:r w:rsidRPr="004325FD">
        <w:rPr>
          <w:rFonts w:ascii="Arial" w:eastAsia="Times New Roman" w:hAnsi="Arial" w:cs="Arial"/>
          <w:i/>
          <w:iCs/>
          <w:color w:val="484848"/>
          <w:spacing w:val="3"/>
          <w:sz w:val="19"/>
          <w:szCs w:val="19"/>
          <w:shd w:val="clear" w:color="auto" w:fill="FBFAF6"/>
        </w:rPr>
        <w:t xml:space="preserve"> and </w:t>
      </w:r>
      <w:proofErr w:type="spellStart"/>
      <w:r w:rsidRPr="004325FD">
        <w:rPr>
          <w:rFonts w:ascii="Arial" w:eastAsia="Times New Roman" w:hAnsi="Arial" w:cs="Arial"/>
          <w:i/>
          <w:iCs/>
          <w:color w:val="484848"/>
          <w:spacing w:val="3"/>
          <w:sz w:val="19"/>
          <w:szCs w:val="19"/>
          <w:shd w:val="clear" w:color="auto" w:fill="FBFAF6"/>
        </w:rPr>
        <w:t>Mladić</w:t>
      </w:r>
      <w:proofErr w:type="spellEnd"/>
      <w:r w:rsidRPr="004325FD">
        <w:rPr>
          <w:rFonts w:ascii="Arial" w:eastAsia="Times New Roman" w:hAnsi="Arial" w:cs="Arial"/>
          <w:i/>
          <w:iCs/>
          <w:color w:val="484848"/>
          <w:spacing w:val="3"/>
          <w:sz w:val="19"/>
          <w:szCs w:val="19"/>
          <w:shd w:val="clear" w:color="auto" w:fill="FBFAF6"/>
        </w:rPr>
        <w:t xml:space="preserve"> case</w:t>
      </w:r>
      <w:r w:rsidRPr="004325FD">
        <w:rPr>
          <w:rFonts w:ascii="Arial" w:eastAsia="Times New Roman" w:hAnsi="Arial" w:cs="Arial"/>
          <w:color w:val="484848"/>
          <w:spacing w:val="3"/>
          <w:sz w:val="19"/>
          <w:szCs w:val="19"/>
          <w:shd w:val="clear" w:color="auto" w:fill="FBFAF6"/>
        </w:rPr>
        <w:t> in 1995 before the International Criminal Tribunal for the former Yugoslavia, the accused were charged with war crimes for using UN peacekeepers as human shields. In its review of the indictments the Tribunal upheld this charge.</w:t>
      </w:r>
      <w:bookmarkStart w:id="8" w:name="refFn_61_8"/>
      <w:r w:rsidRPr="004325FD">
        <w:rPr>
          <w:rFonts w:ascii="Arial" w:eastAsia="Times New Roman" w:hAnsi="Arial" w:cs="Arial"/>
          <w:color w:val="484848"/>
          <w:spacing w:val="3"/>
          <w:sz w:val="19"/>
          <w:szCs w:val="19"/>
          <w:shd w:val="clear" w:color="auto" w:fill="FBFAF6"/>
        </w:rPr>
        <w:fldChar w:fldCharType="begin"/>
      </w:r>
      <w:r w:rsidRPr="004325FD">
        <w:rPr>
          <w:rFonts w:ascii="Arial" w:eastAsia="Times New Roman" w:hAnsi="Arial" w:cs="Arial"/>
          <w:color w:val="484848"/>
          <w:spacing w:val="3"/>
          <w:sz w:val="19"/>
          <w:szCs w:val="19"/>
          <w:shd w:val="clear" w:color="auto" w:fill="FBFAF6"/>
        </w:rPr>
        <w:instrText xml:space="preserve"> HYPERLINK "https://www.icrc.org/customary-ihl/eng/docs/v1_rul_rule97" \l "Fn_61_8" </w:instrText>
      </w:r>
      <w:r w:rsidRPr="004325FD">
        <w:rPr>
          <w:rFonts w:ascii="Arial" w:eastAsia="Times New Roman" w:hAnsi="Arial" w:cs="Arial"/>
          <w:color w:val="484848"/>
          <w:spacing w:val="3"/>
          <w:sz w:val="19"/>
          <w:szCs w:val="19"/>
          <w:shd w:val="clear" w:color="auto" w:fill="FBFAF6"/>
        </w:rPr>
        <w:fldChar w:fldCharType="separate"/>
      </w:r>
      <w:r w:rsidRPr="004325FD">
        <w:rPr>
          <w:rFonts w:ascii="Arial" w:eastAsia="Times New Roman" w:hAnsi="Arial" w:cs="Arial"/>
          <w:i/>
          <w:iCs/>
          <w:color w:val="4C7C8E"/>
          <w:spacing w:val="3"/>
          <w:sz w:val="15"/>
          <w:szCs w:val="15"/>
          <w:shd w:val="clear" w:color="auto" w:fill="FBFAF6"/>
        </w:rPr>
        <w:t>[8]</w:t>
      </w:r>
      <w:r w:rsidRPr="004325FD">
        <w:rPr>
          <w:rFonts w:ascii="Arial" w:eastAsia="Times New Roman" w:hAnsi="Arial" w:cs="Arial"/>
          <w:color w:val="484848"/>
          <w:spacing w:val="3"/>
          <w:sz w:val="19"/>
          <w:szCs w:val="19"/>
          <w:shd w:val="clear" w:color="auto" w:fill="FBFAF6"/>
        </w:rPr>
        <w:fldChar w:fldCharType="end"/>
      </w:r>
      <w:bookmarkEnd w:id="8"/>
      <w:r w:rsidRPr="004325FD">
        <w:rPr>
          <w:rFonts w:ascii="Arial" w:eastAsia="Times New Roman" w:hAnsi="Arial" w:cs="Arial"/>
          <w:color w:val="484848"/>
          <w:spacing w:val="3"/>
          <w:sz w:val="19"/>
          <w:szCs w:val="19"/>
          <w:shd w:val="clear" w:color="auto" w:fill="FBFAF6"/>
        </w:rPr>
        <w:t> </w:t>
      </w:r>
      <w:r w:rsidRPr="004325FD">
        <w:rPr>
          <w:rFonts w:ascii="Arial" w:eastAsia="Times New Roman" w:hAnsi="Arial" w:cs="Arial"/>
          <w:color w:val="484848"/>
          <w:spacing w:val="3"/>
          <w:sz w:val="19"/>
          <w:szCs w:val="19"/>
          <w:shd w:val="clear" w:color="auto" w:fill="FBFAF6"/>
        </w:rPr>
        <w:br/>
        <w:t>With respect to non-international armed conflicts, Additional Protocol II does not explicitly mention the use of human shields, but such practice would be prohibited by the requirement that “the civilian population and individual civilians shall enjoy general protection against the dangers arising from military operations”.</w:t>
      </w:r>
      <w:bookmarkStart w:id="9" w:name="refFn_61_9"/>
      <w:r w:rsidRPr="004325FD">
        <w:rPr>
          <w:rFonts w:ascii="Arial" w:eastAsia="Times New Roman" w:hAnsi="Arial" w:cs="Arial"/>
          <w:color w:val="484848"/>
          <w:spacing w:val="3"/>
          <w:sz w:val="19"/>
          <w:szCs w:val="19"/>
          <w:shd w:val="clear" w:color="auto" w:fill="FBFAF6"/>
        </w:rPr>
        <w:fldChar w:fldCharType="begin"/>
      </w:r>
      <w:r w:rsidRPr="004325FD">
        <w:rPr>
          <w:rFonts w:ascii="Arial" w:eastAsia="Times New Roman" w:hAnsi="Arial" w:cs="Arial"/>
          <w:color w:val="484848"/>
          <w:spacing w:val="3"/>
          <w:sz w:val="19"/>
          <w:szCs w:val="19"/>
          <w:shd w:val="clear" w:color="auto" w:fill="FBFAF6"/>
        </w:rPr>
        <w:instrText xml:space="preserve"> HYPERLINK "https://www.icrc.org/customary-ihl/eng/docs/v1_rul_rule97" \l "Fn_61_9" </w:instrText>
      </w:r>
      <w:r w:rsidRPr="004325FD">
        <w:rPr>
          <w:rFonts w:ascii="Arial" w:eastAsia="Times New Roman" w:hAnsi="Arial" w:cs="Arial"/>
          <w:color w:val="484848"/>
          <w:spacing w:val="3"/>
          <w:sz w:val="19"/>
          <w:szCs w:val="19"/>
          <w:shd w:val="clear" w:color="auto" w:fill="FBFAF6"/>
        </w:rPr>
        <w:fldChar w:fldCharType="separate"/>
      </w:r>
      <w:r w:rsidRPr="004325FD">
        <w:rPr>
          <w:rFonts w:ascii="Arial" w:eastAsia="Times New Roman" w:hAnsi="Arial" w:cs="Arial"/>
          <w:i/>
          <w:iCs/>
          <w:color w:val="4C7C8E"/>
          <w:spacing w:val="3"/>
          <w:sz w:val="15"/>
          <w:szCs w:val="15"/>
          <w:shd w:val="clear" w:color="auto" w:fill="FBFAF6"/>
        </w:rPr>
        <w:t>[9]</w:t>
      </w:r>
      <w:r w:rsidRPr="004325FD">
        <w:rPr>
          <w:rFonts w:ascii="Arial" w:eastAsia="Times New Roman" w:hAnsi="Arial" w:cs="Arial"/>
          <w:color w:val="484848"/>
          <w:spacing w:val="3"/>
          <w:sz w:val="19"/>
          <w:szCs w:val="19"/>
          <w:shd w:val="clear" w:color="auto" w:fill="FBFAF6"/>
        </w:rPr>
        <w:fldChar w:fldCharType="end"/>
      </w:r>
      <w:bookmarkEnd w:id="9"/>
      <w:r w:rsidRPr="004325FD">
        <w:rPr>
          <w:rFonts w:ascii="Arial" w:eastAsia="Times New Roman" w:hAnsi="Arial" w:cs="Arial"/>
          <w:color w:val="484848"/>
          <w:spacing w:val="3"/>
          <w:sz w:val="19"/>
          <w:szCs w:val="19"/>
          <w:shd w:val="clear" w:color="auto" w:fill="FBFAF6"/>
        </w:rPr>
        <w:t>  It is significant, furthermore, that the use of human shields has often been equated with the taking of hostages,</w:t>
      </w:r>
      <w:bookmarkStart w:id="10" w:name="refFn_61_10"/>
      <w:r w:rsidRPr="004325FD">
        <w:rPr>
          <w:rFonts w:ascii="Arial" w:eastAsia="Times New Roman" w:hAnsi="Arial" w:cs="Arial"/>
          <w:color w:val="484848"/>
          <w:spacing w:val="3"/>
          <w:sz w:val="19"/>
          <w:szCs w:val="19"/>
          <w:shd w:val="clear" w:color="auto" w:fill="FBFAF6"/>
        </w:rPr>
        <w:fldChar w:fldCharType="begin"/>
      </w:r>
      <w:r w:rsidRPr="004325FD">
        <w:rPr>
          <w:rFonts w:ascii="Arial" w:eastAsia="Times New Roman" w:hAnsi="Arial" w:cs="Arial"/>
          <w:color w:val="484848"/>
          <w:spacing w:val="3"/>
          <w:sz w:val="19"/>
          <w:szCs w:val="19"/>
          <w:shd w:val="clear" w:color="auto" w:fill="FBFAF6"/>
        </w:rPr>
        <w:instrText xml:space="preserve"> HYPERLINK "https://www.icrc.org/customary-ihl/eng/docs/v1_rul_rule97" \l "Fn_61_10" </w:instrText>
      </w:r>
      <w:r w:rsidRPr="004325FD">
        <w:rPr>
          <w:rFonts w:ascii="Arial" w:eastAsia="Times New Roman" w:hAnsi="Arial" w:cs="Arial"/>
          <w:color w:val="484848"/>
          <w:spacing w:val="3"/>
          <w:sz w:val="19"/>
          <w:szCs w:val="19"/>
          <w:shd w:val="clear" w:color="auto" w:fill="FBFAF6"/>
        </w:rPr>
        <w:fldChar w:fldCharType="separate"/>
      </w:r>
      <w:r w:rsidRPr="004325FD">
        <w:rPr>
          <w:rFonts w:ascii="Arial" w:eastAsia="Times New Roman" w:hAnsi="Arial" w:cs="Arial"/>
          <w:i/>
          <w:iCs/>
          <w:color w:val="4C7C8E"/>
          <w:spacing w:val="3"/>
          <w:sz w:val="15"/>
          <w:szCs w:val="15"/>
          <w:shd w:val="clear" w:color="auto" w:fill="FBFAF6"/>
        </w:rPr>
        <w:t>[10]</w:t>
      </w:r>
      <w:r w:rsidRPr="004325FD">
        <w:rPr>
          <w:rFonts w:ascii="Arial" w:eastAsia="Times New Roman" w:hAnsi="Arial" w:cs="Arial"/>
          <w:color w:val="484848"/>
          <w:spacing w:val="3"/>
          <w:sz w:val="19"/>
          <w:szCs w:val="19"/>
          <w:shd w:val="clear" w:color="auto" w:fill="FBFAF6"/>
        </w:rPr>
        <w:fldChar w:fldCharType="end"/>
      </w:r>
      <w:bookmarkEnd w:id="10"/>
      <w:r w:rsidRPr="004325FD">
        <w:rPr>
          <w:rFonts w:ascii="Arial" w:eastAsia="Times New Roman" w:hAnsi="Arial" w:cs="Arial"/>
          <w:color w:val="484848"/>
          <w:spacing w:val="3"/>
          <w:sz w:val="19"/>
          <w:szCs w:val="19"/>
          <w:shd w:val="clear" w:color="auto" w:fill="FBFAF6"/>
        </w:rPr>
        <w:t>  which is prohibited by Additional Protocol II,</w:t>
      </w:r>
      <w:bookmarkStart w:id="11" w:name="refFn_61_11"/>
      <w:r w:rsidRPr="004325FD">
        <w:rPr>
          <w:rFonts w:ascii="Arial" w:eastAsia="Times New Roman" w:hAnsi="Arial" w:cs="Arial"/>
          <w:color w:val="484848"/>
          <w:spacing w:val="3"/>
          <w:sz w:val="19"/>
          <w:szCs w:val="19"/>
          <w:shd w:val="clear" w:color="auto" w:fill="FBFAF6"/>
        </w:rPr>
        <w:fldChar w:fldCharType="begin"/>
      </w:r>
      <w:r w:rsidRPr="004325FD">
        <w:rPr>
          <w:rFonts w:ascii="Arial" w:eastAsia="Times New Roman" w:hAnsi="Arial" w:cs="Arial"/>
          <w:color w:val="484848"/>
          <w:spacing w:val="3"/>
          <w:sz w:val="19"/>
          <w:szCs w:val="19"/>
          <w:shd w:val="clear" w:color="auto" w:fill="FBFAF6"/>
        </w:rPr>
        <w:instrText xml:space="preserve"> HYPERLINK "https://www.icrc.org/customary-ihl/eng/docs/v1_rul_rule97" \l "Fn_61_11" </w:instrText>
      </w:r>
      <w:r w:rsidRPr="004325FD">
        <w:rPr>
          <w:rFonts w:ascii="Arial" w:eastAsia="Times New Roman" w:hAnsi="Arial" w:cs="Arial"/>
          <w:color w:val="484848"/>
          <w:spacing w:val="3"/>
          <w:sz w:val="19"/>
          <w:szCs w:val="19"/>
          <w:shd w:val="clear" w:color="auto" w:fill="FBFAF6"/>
        </w:rPr>
        <w:fldChar w:fldCharType="separate"/>
      </w:r>
      <w:r w:rsidRPr="004325FD">
        <w:rPr>
          <w:rFonts w:ascii="Arial" w:eastAsia="Times New Roman" w:hAnsi="Arial" w:cs="Arial"/>
          <w:i/>
          <w:iCs/>
          <w:color w:val="4C7C8E"/>
          <w:spacing w:val="3"/>
          <w:sz w:val="15"/>
          <w:szCs w:val="15"/>
          <w:shd w:val="clear" w:color="auto" w:fill="FBFAF6"/>
        </w:rPr>
        <w:t>[11]</w:t>
      </w:r>
      <w:r w:rsidRPr="004325FD">
        <w:rPr>
          <w:rFonts w:ascii="Arial" w:eastAsia="Times New Roman" w:hAnsi="Arial" w:cs="Arial"/>
          <w:color w:val="484848"/>
          <w:spacing w:val="3"/>
          <w:sz w:val="19"/>
          <w:szCs w:val="19"/>
          <w:shd w:val="clear" w:color="auto" w:fill="FBFAF6"/>
        </w:rPr>
        <w:fldChar w:fldCharType="end"/>
      </w:r>
      <w:bookmarkEnd w:id="11"/>
      <w:r w:rsidRPr="004325FD">
        <w:rPr>
          <w:rFonts w:ascii="Arial" w:eastAsia="Times New Roman" w:hAnsi="Arial" w:cs="Arial"/>
          <w:color w:val="484848"/>
          <w:spacing w:val="3"/>
          <w:sz w:val="19"/>
          <w:szCs w:val="19"/>
          <w:shd w:val="clear" w:color="auto" w:fill="FBFAF6"/>
        </w:rPr>
        <w:t>  and by customary international law (see Rule 96). In addition, deliberately using civilians to shield military operations is contrary to the principle of distinction and violates the obligation to take feasible precautions to separate civilians and military objectives (see Rules 23–24).</w:t>
      </w:r>
      <w:r w:rsidRPr="004325FD">
        <w:rPr>
          <w:rFonts w:ascii="Arial" w:eastAsia="Times New Roman" w:hAnsi="Arial" w:cs="Arial"/>
          <w:color w:val="484848"/>
          <w:spacing w:val="3"/>
          <w:sz w:val="19"/>
          <w:szCs w:val="19"/>
          <w:shd w:val="clear" w:color="auto" w:fill="FBFAF6"/>
        </w:rPr>
        <w:br/>
        <w:t>Several military manuals which apply in non-international armed conflicts prohibit the use of human shields.</w:t>
      </w:r>
      <w:bookmarkStart w:id="12" w:name="refFn_61_12"/>
      <w:r w:rsidRPr="004325FD">
        <w:rPr>
          <w:rFonts w:ascii="Arial" w:eastAsia="Times New Roman" w:hAnsi="Arial" w:cs="Arial"/>
          <w:color w:val="484848"/>
          <w:spacing w:val="3"/>
          <w:sz w:val="19"/>
          <w:szCs w:val="19"/>
          <w:shd w:val="clear" w:color="auto" w:fill="FBFAF6"/>
        </w:rPr>
        <w:fldChar w:fldCharType="begin"/>
      </w:r>
      <w:r w:rsidRPr="004325FD">
        <w:rPr>
          <w:rFonts w:ascii="Arial" w:eastAsia="Times New Roman" w:hAnsi="Arial" w:cs="Arial"/>
          <w:color w:val="484848"/>
          <w:spacing w:val="3"/>
          <w:sz w:val="19"/>
          <w:szCs w:val="19"/>
          <w:shd w:val="clear" w:color="auto" w:fill="FBFAF6"/>
        </w:rPr>
        <w:instrText xml:space="preserve"> HYPERLINK "https://www.icrc.org/customary-ihl/eng/docs/v1_rul_rule97" \l "Fn_61_12" </w:instrText>
      </w:r>
      <w:r w:rsidRPr="004325FD">
        <w:rPr>
          <w:rFonts w:ascii="Arial" w:eastAsia="Times New Roman" w:hAnsi="Arial" w:cs="Arial"/>
          <w:color w:val="484848"/>
          <w:spacing w:val="3"/>
          <w:sz w:val="19"/>
          <w:szCs w:val="19"/>
          <w:shd w:val="clear" w:color="auto" w:fill="FBFAF6"/>
        </w:rPr>
        <w:fldChar w:fldCharType="separate"/>
      </w:r>
      <w:r w:rsidRPr="004325FD">
        <w:rPr>
          <w:rFonts w:ascii="Arial" w:eastAsia="Times New Roman" w:hAnsi="Arial" w:cs="Arial"/>
          <w:i/>
          <w:iCs/>
          <w:color w:val="4C7C8E"/>
          <w:spacing w:val="3"/>
          <w:sz w:val="15"/>
          <w:szCs w:val="15"/>
          <w:shd w:val="clear" w:color="auto" w:fill="FBFAF6"/>
        </w:rPr>
        <w:t>[12]</w:t>
      </w:r>
      <w:r w:rsidRPr="004325FD">
        <w:rPr>
          <w:rFonts w:ascii="Arial" w:eastAsia="Times New Roman" w:hAnsi="Arial" w:cs="Arial"/>
          <w:color w:val="484848"/>
          <w:spacing w:val="3"/>
          <w:sz w:val="19"/>
          <w:szCs w:val="19"/>
          <w:shd w:val="clear" w:color="auto" w:fill="FBFAF6"/>
        </w:rPr>
        <w:fldChar w:fldCharType="end"/>
      </w:r>
      <w:bookmarkEnd w:id="12"/>
      <w:r w:rsidRPr="004325FD">
        <w:rPr>
          <w:rFonts w:ascii="Arial" w:eastAsia="Times New Roman" w:hAnsi="Arial" w:cs="Arial"/>
          <w:color w:val="484848"/>
          <w:spacing w:val="3"/>
          <w:sz w:val="19"/>
          <w:szCs w:val="19"/>
          <w:shd w:val="clear" w:color="auto" w:fill="FBFAF6"/>
        </w:rPr>
        <w:t>  The legislation of several States criminalizes the use of human shields in non-international armed conflicts.</w:t>
      </w:r>
      <w:bookmarkStart w:id="13" w:name="refFn_61_13"/>
      <w:r w:rsidRPr="004325FD">
        <w:rPr>
          <w:rFonts w:ascii="Arial" w:eastAsia="Times New Roman" w:hAnsi="Arial" w:cs="Arial"/>
          <w:color w:val="484848"/>
          <w:spacing w:val="3"/>
          <w:sz w:val="19"/>
          <w:szCs w:val="19"/>
          <w:shd w:val="clear" w:color="auto" w:fill="FBFAF6"/>
        </w:rPr>
        <w:fldChar w:fldCharType="begin"/>
      </w:r>
      <w:r w:rsidRPr="004325FD">
        <w:rPr>
          <w:rFonts w:ascii="Arial" w:eastAsia="Times New Roman" w:hAnsi="Arial" w:cs="Arial"/>
          <w:color w:val="484848"/>
          <w:spacing w:val="3"/>
          <w:sz w:val="19"/>
          <w:szCs w:val="19"/>
          <w:shd w:val="clear" w:color="auto" w:fill="FBFAF6"/>
        </w:rPr>
        <w:instrText xml:space="preserve"> HYPERLINK "https://www.icrc.org/customary-ihl/eng/docs/v1_rul_rule97" \l "Fn_61_13" </w:instrText>
      </w:r>
      <w:r w:rsidRPr="004325FD">
        <w:rPr>
          <w:rFonts w:ascii="Arial" w:eastAsia="Times New Roman" w:hAnsi="Arial" w:cs="Arial"/>
          <w:color w:val="484848"/>
          <w:spacing w:val="3"/>
          <w:sz w:val="19"/>
          <w:szCs w:val="19"/>
          <w:shd w:val="clear" w:color="auto" w:fill="FBFAF6"/>
        </w:rPr>
        <w:fldChar w:fldCharType="separate"/>
      </w:r>
      <w:r w:rsidRPr="004325FD">
        <w:rPr>
          <w:rFonts w:ascii="Arial" w:eastAsia="Times New Roman" w:hAnsi="Arial" w:cs="Arial"/>
          <w:i/>
          <w:iCs/>
          <w:color w:val="4C7C8E"/>
          <w:spacing w:val="3"/>
          <w:sz w:val="15"/>
          <w:szCs w:val="15"/>
          <w:shd w:val="clear" w:color="auto" w:fill="FBFAF6"/>
        </w:rPr>
        <w:t>[13]</w:t>
      </w:r>
      <w:r w:rsidRPr="004325FD">
        <w:rPr>
          <w:rFonts w:ascii="Arial" w:eastAsia="Times New Roman" w:hAnsi="Arial" w:cs="Arial"/>
          <w:color w:val="484848"/>
          <w:spacing w:val="3"/>
          <w:sz w:val="19"/>
          <w:szCs w:val="19"/>
          <w:shd w:val="clear" w:color="auto" w:fill="FBFAF6"/>
        </w:rPr>
        <w:fldChar w:fldCharType="end"/>
      </w:r>
      <w:bookmarkEnd w:id="13"/>
      <w:r w:rsidRPr="004325FD">
        <w:rPr>
          <w:rFonts w:ascii="Arial" w:eastAsia="Times New Roman" w:hAnsi="Arial" w:cs="Arial"/>
          <w:color w:val="484848"/>
          <w:spacing w:val="3"/>
          <w:sz w:val="19"/>
          <w:szCs w:val="19"/>
          <w:shd w:val="clear" w:color="auto" w:fill="FBFAF6"/>
        </w:rPr>
        <w:t>  The use of human shields in non-international armed conflicts has been condemned by States and by the United Nations, for example, with respect to the conflicts in Liberia, Rwanda, Sierra Leone, Somalia, Tajikistan and the former Yugoslavia.</w:t>
      </w:r>
      <w:bookmarkStart w:id="14" w:name="refFn_61_14"/>
      <w:r w:rsidRPr="004325FD">
        <w:rPr>
          <w:rFonts w:ascii="Arial" w:eastAsia="Times New Roman" w:hAnsi="Arial" w:cs="Arial"/>
          <w:color w:val="484848"/>
          <w:spacing w:val="3"/>
          <w:sz w:val="19"/>
          <w:szCs w:val="19"/>
          <w:shd w:val="clear" w:color="auto" w:fill="FBFAF6"/>
        </w:rPr>
        <w:fldChar w:fldCharType="begin"/>
      </w:r>
      <w:r w:rsidRPr="004325FD">
        <w:rPr>
          <w:rFonts w:ascii="Arial" w:eastAsia="Times New Roman" w:hAnsi="Arial" w:cs="Arial"/>
          <w:color w:val="484848"/>
          <w:spacing w:val="3"/>
          <w:sz w:val="19"/>
          <w:szCs w:val="19"/>
          <w:shd w:val="clear" w:color="auto" w:fill="FBFAF6"/>
        </w:rPr>
        <w:instrText xml:space="preserve"> HYPERLINK "https://www.icrc.org/customary-ihl/eng/docs/v1_rul_rule97" \l "Fn_61_14" </w:instrText>
      </w:r>
      <w:r w:rsidRPr="004325FD">
        <w:rPr>
          <w:rFonts w:ascii="Arial" w:eastAsia="Times New Roman" w:hAnsi="Arial" w:cs="Arial"/>
          <w:color w:val="484848"/>
          <w:spacing w:val="3"/>
          <w:sz w:val="19"/>
          <w:szCs w:val="19"/>
          <w:shd w:val="clear" w:color="auto" w:fill="FBFAF6"/>
        </w:rPr>
        <w:fldChar w:fldCharType="separate"/>
      </w:r>
      <w:r w:rsidRPr="004325FD">
        <w:rPr>
          <w:rFonts w:ascii="Arial" w:eastAsia="Times New Roman" w:hAnsi="Arial" w:cs="Arial"/>
          <w:i/>
          <w:iCs/>
          <w:color w:val="4C7C8E"/>
          <w:spacing w:val="3"/>
          <w:sz w:val="15"/>
          <w:szCs w:val="15"/>
          <w:shd w:val="clear" w:color="auto" w:fill="FBFAF6"/>
        </w:rPr>
        <w:t>[14]</w:t>
      </w:r>
      <w:r w:rsidRPr="004325FD">
        <w:rPr>
          <w:rFonts w:ascii="Arial" w:eastAsia="Times New Roman" w:hAnsi="Arial" w:cs="Arial"/>
          <w:color w:val="484848"/>
          <w:spacing w:val="3"/>
          <w:sz w:val="19"/>
          <w:szCs w:val="19"/>
          <w:shd w:val="clear" w:color="auto" w:fill="FBFAF6"/>
        </w:rPr>
        <w:fldChar w:fldCharType="end"/>
      </w:r>
      <w:bookmarkEnd w:id="14"/>
      <w:r w:rsidRPr="004325FD">
        <w:rPr>
          <w:rFonts w:ascii="Arial" w:eastAsia="Times New Roman" w:hAnsi="Arial" w:cs="Arial"/>
          <w:color w:val="484848"/>
          <w:spacing w:val="3"/>
          <w:sz w:val="19"/>
          <w:szCs w:val="19"/>
          <w:shd w:val="clear" w:color="auto" w:fill="FBFAF6"/>
        </w:rPr>
        <w:t> </w:t>
      </w:r>
      <w:r w:rsidRPr="004325FD">
        <w:rPr>
          <w:rFonts w:ascii="Arial" w:eastAsia="Times New Roman" w:hAnsi="Arial" w:cs="Arial"/>
          <w:color w:val="484848"/>
          <w:spacing w:val="3"/>
          <w:sz w:val="19"/>
          <w:szCs w:val="19"/>
          <w:shd w:val="clear" w:color="auto" w:fill="FBFAF6"/>
        </w:rPr>
        <w:br/>
        <w:t>No official contrary practice was found.</w:t>
      </w:r>
      <w:r w:rsidRPr="004325FD">
        <w:rPr>
          <w:rFonts w:ascii="Arial" w:eastAsia="Times New Roman" w:hAnsi="Arial" w:cs="Arial"/>
          <w:color w:val="484848"/>
          <w:spacing w:val="3"/>
          <w:sz w:val="19"/>
          <w:szCs w:val="19"/>
          <w:shd w:val="clear" w:color="auto" w:fill="FBFAF6"/>
        </w:rPr>
        <w:br/>
        <w:t>The ICRC has reminded parties to both international and non-international armed conflicts of the prohibition of using human shields.</w:t>
      </w:r>
      <w:bookmarkStart w:id="15" w:name="refFn_61_15"/>
      <w:r w:rsidRPr="004325FD">
        <w:rPr>
          <w:rFonts w:ascii="Arial" w:eastAsia="Times New Roman" w:hAnsi="Arial" w:cs="Arial"/>
          <w:color w:val="484848"/>
          <w:spacing w:val="3"/>
          <w:sz w:val="19"/>
          <w:szCs w:val="19"/>
          <w:shd w:val="clear" w:color="auto" w:fill="FBFAF6"/>
        </w:rPr>
        <w:fldChar w:fldCharType="begin"/>
      </w:r>
      <w:r w:rsidRPr="004325FD">
        <w:rPr>
          <w:rFonts w:ascii="Arial" w:eastAsia="Times New Roman" w:hAnsi="Arial" w:cs="Arial"/>
          <w:color w:val="484848"/>
          <w:spacing w:val="3"/>
          <w:sz w:val="19"/>
          <w:szCs w:val="19"/>
          <w:shd w:val="clear" w:color="auto" w:fill="FBFAF6"/>
        </w:rPr>
        <w:instrText xml:space="preserve"> HYPERLINK "https://www.icrc.org/customary-ihl/eng/docs/v1_rul_rule97" \l "Fn_61_15" </w:instrText>
      </w:r>
      <w:r w:rsidRPr="004325FD">
        <w:rPr>
          <w:rFonts w:ascii="Arial" w:eastAsia="Times New Roman" w:hAnsi="Arial" w:cs="Arial"/>
          <w:color w:val="484848"/>
          <w:spacing w:val="3"/>
          <w:sz w:val="19"/>
          <w:szCs w:val="19"/>
          <w:shd w:val="clear" w:color="auto" w:fill="FBFAF6"/>
        </w:rPr>
        <w:fldChar w:fldCharType="separate"/>
      </w:r>
      <w:r w:rsidRPr="004325FD">
        <w:rPr>
          <w:rFonts w:ascii="Arial" w:eastAsia="Times New Roman" w:hAnsi="Arial" w:cs="Arial"/>
          <w:i/>
          <w:iCs/>
          <w:color w:val="4C7C8E"/>
          <w:spacing w:val="3"/>
          <w:sz w:val="15"/>
          <w:szCs w:val="15"/>
          <w:shd w:val="clear" w:color="auto" w:fill="FBFAF6"/>
        </w:rPr>
        <w:t>[15]</w:t>
      </w:r>
      <w:r w:rsidRPr="004325FD">
        <w:rPr>
          <w:rFonts w:ascii="Arial" w:eastAsia="Times New Roman" w:hAnsi="Arial" w:cs="Arial"/>
          <w:color w:val="484848"/>
          <w:spacing w:val="3"/>
          <w:sz w:val="19"/>
          <w:szCs w:val="19"/>
          <w:shd w:val="clear" w:color="auto" w:fill="FBFAF6"/>
        </w:rPr>
        <w:fldChar w:fldCharType="end"/>
      </w:r>
      <w:bookmarkEnd w:id="15"/>
      <w:r w:rsidRPr="004325FD">
        <w:rPr>
          <w:rFonts w:ascii="Arial" w:eastAsia="Times New Roman" w:hAnsi="Arial" w:cs="Arial"/>
          <w:color w:val="484848"/>
          <w:spacing w:val="3"/>
          <w:sz w:val="19"/>
          <w:szCs w:val="19"/>
          <w:shd w:val="clear" w:color="auto" w:fill="FBFAF6"/>
        </w:rPr>
        <w:t> </w:t>
      </w:r>
      <w:r w:rsidRPr="004325FD">
        <w:rPr>
          <w:rFonts w:ascii="Arial" w:eastAsia="Times New Roman" w:hAnsi="Arial" w:cs="Arial"/>
          <w:color w:val="484848"/>
          <w:spacing w:val="3"/>
          <w:sz w:val="19"/>
          <w:szCs w:val="19"/>
          <w:shd w:val="clear" w:color="auto" w:fill="FBFAF6"/>
        </w:rPr>
        <w:br/>
        <w:t>International human rights law does not prohibit the use of human shields as such, but this practice would constitute, among other things, a violation of the non-</w:t>
      </w:r>
      <w:proofErr w:type="spellStart"/>
      <w:r w:rsidRPr="004325FD">
        <w:rPr>
          <w:rFonts w:ascii="Arial" w:eastAsia="Times New Roman" w:hAnsi="Arial" w:cs="Arial"/>
          <w:color w:val="484848"/>
          <w:spacing w:val="3"/>
          <w:sz w:val="19"/>
          <w:szCs w:val="19"/>
          <w:shd w:val="clear" w:color="auto" w:fill="FBFAF6"/>
        </w:rPr>
        <w:t>derogable</w:t>
      </w:r>
      <w:proofErr w:type="spellEnd"/>
      <w:r w:rsidRPr="004325FD">
        <w:rPr>
          <w:rFonts w:ascii="Arial" w:eastAsia="Times New Roman" w:hAnsi="Arial" w:cs="Arial"/>
          <w:color w:val="484848"/>
          <w:spacing w:val="3"/>
          <w:sz w:val="19"/>
          <w:szCs w:val="19"/>
          <w:shd w:val="clear" w:color="auto" w:fill="FBFAF6"/>
        </w:rPr>
        <w:t xml:space="preserve"> right not to be arbitrarily deprived of the right to life (see commentary to Rule 89). The UN Human Rights Committee and regional human rights bodies have indicated that this right involves not only the right not to be killed, but also the duty of States to take measures to protect life.</w:t>
      </w:r>
      <w:bookmarkStart w:id="16" w:name="refFn_61_16"/>
      <w:r w:rsidRPr="004325FD">
        <w:rPr>
          <w:rFonts w:ascii="Arial" w:eastAsia="Times New Roman" w:hAnsi="Arial" w:cs="Arial"/>
          <w:color w:val="484848"/>
          <w:spacing w:val="3"/>
          <w:sz w:val="19"/>
          <w:szCs w:val="19"/>
          <w:shd w:val="clear" w:color="auto" w:fill="FBFAF6"/>
        </w:rPr>
        <w:fldChar w:fldCharType="begin"/>
      </w:r>
      <w:r w:rsidRPr="004325FD">
        <w:rPr>
          <w:rFonts w:ascii="Arial" w:eastAsia="Times New Roman" w:hAnsi="Arial" w:cs="Arial"/>
          <w:color w:val="484848"/>
          <w:spacing w:val="3"/>
          <w:sz w:val="19"/>
          <w:szCs w:val="19"/>
          <w:shd w:val="clear" w:color="auto" w:fill="FBFAF6"/>
        </w:rPr>
        <w:instrText xml:space="preserve"> HYPERLINK "https://www.icrc.org/customary-ihl/eng/docs/v1_rul_rule97" \l "Fn_61_16" </w:instrText>
      </w:r>
      <w:r w:rsidRPr="004325FD">
        <w:rPr>
          <w:rFonts w:ascii="Arial" w:eastAsia="Times New Roman" w:hAnsi="Arial" w:cs="Arial"/>
          <w:color w:val="484848"/>
          <w:spacing w:val="3"/>
          <w:sz w:val="19"/>
          <w:szCs w:val="19"/>
          <w:shd w:val="clear" w:color="auto" w:fill="FBFAF6"/>
        </w:rPr>
        <w:fldChar w:fldCharType="separate"/>
      </w:r>
      <w:r w:rsidRPr="004325FD">
        <w:rPr>
          <w:rFonts w:ascii="Arial" w:eastAsia="Times New Roman" w:hAnsi="Arial" w:cs="Arial"/>
          <w:i/>
          <w:iCs/>
          <w:color w:val="4C7C8E"/>
          <w:spacing w:val="3"/>
          <w:sz w:val="15"/>
          <w:szCs w:val="15"/>
          <w:shd w:val="clear" w:color="auto" w:fill="FBFAF6"/>
        </w:rPr>
        <w:t>[16]</w:t>
      </w:r>
      <w:r w:rsidRPr="004325FD">
        <w:rPr>
          <w:rFonts w:ascii="Arial" w:eastAsia="Times New Roman" w:hAnsi="Arial" w:cs="Arial"/>
          <w:color w:val="484848"/>
          <w:spacing w:val="3"/>
          <w:sz w:val="19"/>
          <w:szCs w:val="19"/>
          <w:shd w:val="clear" w:color="auto" w:fill="FBFAF6"/>
        </w:rPr>
        <w:fldChar w:fldCharType="end"/>
      </w:r>
      <w:bookmarkEnd w:id="16"/>
      <w:r w:rsidRPr="004325FD">
        <w:rPr>
          <w:rFonts w:ascii="Arial" w:eastAsia="Times New Roman" w:hAnsi="Arial" w:cs="Arial"/>
          <w:color w:val="484848"/>
          <w:spacing w:val="3"/>
          <w:sz w:val="19"/>
          <w:szCs w:val="19"/>
          <w:shd w:val="clear" w:color="auto" w:fill="FBFAF6"/>
        </w:rPr>
        <w:t>  In </w:t>
      </w:r>
      <w:proofErr w:type="spellStart"/>
      <w:r w:rsidRPr="004325FD">
        <w:rPr>
          <w:rFonts w:ascii="Arial" w:eastAsia="Times New Roman" w:hAnsi="Arial" w:cs="Arial"/>
          <w:i/>
          <w:iCs/>
          <w:color w:val="484848"/>
          <w:spacing w:val="3"/>
          <w:sz w:val="19"/>
          <w:szCs w:val="19"/>
          <w:shd w:val="clear" w:color="auto" w:fill="FBFAF6"/>
        </w:rPr>
        <w:t>Demiray</w:t>
      </w:r>
      <w:proofErr w:type="spellEnd"/>
      <w:r w:rsidRPr="004325FD">
        <w:rPr>
          <w:rFonts w:ascii="Arial" w:eastAsia="Times New Roman" w:hAnsi="Arial" w:cs="Arial"/>
          <w:i/>
          <w:iCs/>
          <w:color w:val="484848"/>
          <w:spacing w:val="3"/>
          <w:sz w:val="19"/>
          <w:szCs w:val="19"/>
          <w:shd w:val="clear" w:color="auto" w:fill="FBFAF6"/>
        </w:rPr>
        <w:t xml:space="preserve"> v. Turkey</w:t>
      </w:r>
      <w:r w:rsidRPr="004325FD">
        <w:rPr>
          <w:rFonts w:ascii="Arial" w:eastAsia="Times New Roman" w:hAnsi="Arial" w:cs="Arial"/>
          <w:color w:val="484848"/>
          <w:spacing w:val="3"/>
          <w:sz w:val="19"/>
          <w:szCs w:val="19"/>
          <w:shd w:val="clear" w:color="auto" w:fill="FBFAF6"/>
        </w:rPr>
        <w:t>, in which the applicant submitted that her husband had been used as a human shield, the European Court of Human Rights stated that “Article 2 may … imply in certain well-defined circumstances a positive obligation on the authorities to take preventive operational measures to protect an individual for which they are responsible”.</w:t>
      </w:r>
      <w:bookmarkStart w:id="17" w:name="refFn_61_17"/>
      <w:r w:rsidRPr="004325FD">
        <w:rPr>
          <w:rFonts w:ascii="Arial" w:eastAsia="Times New Roman" w:hAnsi="Arial" w:cs="Arial"/>
          <w:color w:val="484848"/>
          <w:spacing w:val="3"/>
          <w:sz w:val="19"/>
          <w:szCs w:val="19"/>
          <w:shd w:val="clear" w:color="auto" w:fill="FBFAF6"/>
        </w:rPr>
        <w:fldChar w:fldCharType="begin"/>
      </w:r>
      <w:r w:rsidRPr="004325FD">
        <w:rPr>
          <w:rFonts w:ascii="Arial" w:eastAsia="Times New Roman" w:hAnsi="Arial" w:cs="Arial"/>
          <w:color w:val="484848"/>
          <w:spacing w:val="3"/>
          <w:sz w:val="19"/>
          <w:szCs w:val="19"/>
          <w:shd w:val="clear" w:color="auto" w:fill="FBFAF6"/>
        </w:rPr>
        <w:instrText xml:space="preserve"> HYPERLINK "https://www.icrc.org/customary-ihl/eng/docs/v1_rul_rule97" \l "Fn_61_17" </w:instrText>
      </w:r>
      <w:r w:rsidRPr="004325FD">
        <w:rPr>
          <w:rFonts w:ascii="Arial" w:eastAsia="Times New Roman" w:hAnsi="Arial" w:cs="Arial"/>
          <w:color w:val="484848"/>
          <w:spacing w:val="3"/>
          <w:sz w:val="19"/>
          <w:szCs w:val="19"/>
          <w:shd w:val="clear" w:color="auto" w:fill="FBFAF6"/>
        </w:rPr>
        <w:fldChar w:fldCharType="separate"/>
      </w:r>
      <w:r w:rsidRPr="004325FD">
        <w:rPr>
          <w:rFonts w:ascii="Arial" w:eastAsia="Times New Roman" w:hAnsi="Arial" w:cs="Arial"/>
          <w:i/>
          <w:iCs/>
          <w:color w:val="4C7C8E"/>
          <w:spacing w:val="3"/>
          <w:sz w:val="15"/>
          <w:szCs w:val="15"/>
          <w:shd w:val="clear" w:color="auto" w:fill="FBFAF6"/>
        </w:rPr>
        <w:t>[17]</w:t>
      </w:r>
      <w:r w:rsidRPr="004325FD">
        <w:rPr>
          <w:rFonts w:ascii="Arial" w:eastAsia="Times New Roman" w:hAnsi="Arial" w:cs="Arial"/>
          <w:color w:val="484848"/>
          <w:spacing w:val="3"/>
          <w:sz w:val="19"/>
          <w:szCs w:val="19"/>
          <w:shd w:val="clear" w:color="auto" w:fill="FBFAF6"/>
        </w:rPr>
        <w:fldChar w:fldCharType="end"/>
      </w:r>
      <w:bookmarkEnd w:id="17"/>
      <w:r w:rsidRPr="004325FD">
        <w:rPr>
          <w:rFonts w:ascii="Arial" w:eastAsia="Times New Roman" w:hAnsi="Arial" w:cs="Arial"/>
          <w:color w:val="484848"/>
          <w:spacing w:val="3"/>
          <w:sz w:val="19"/>
          <w:szCs w:val="19"/>
          <w:shd w:val="clear" w:color="auto" w:fill="FBFAF6"/>
        </w:rPr>
        <w:t> </w:t>
      </w:r>
      <w:r w:rsidRPr="004325FD">
        <w:rPr>
          <w:rFonts w:ascii="Arial" w:eastAsia="Times New Roman" w:hAnsi="Arial" w:cs="Arial"/>
          <w:color w:val="484848"/>
          <w:spacing w:val="3"/>
          <w:sz w:val="19"/>
          <w:szCs w:val="19"/>
          <w:shd w:val="clear" w:color="auto" w:fill="FBFAF6"/>
        </w:rPr>
        <w:br/>
      </w:r>
    </w:p>
    <w:p w:rsidR="004325FD" w:rsidRPr="004325FD" w:rsidRDefault="004325FD" w:rsidP="004325FD">
      <w:pPr>
        <w:shd w:val="clear" w:color="auto" w:fill="FBFAF6"/>
        <w:spacing w:after="0" w:line="264" w:lineRule="atLeast"/>
        <w:rPr>
          <w:rFonts w:ascii="Arial" w:eastAsia="Times New Roman" w:hAnsi="Arial" w:cs="Arial"/>
          <w:b/>
          <w:bCs/>
          <w:color w:val="484848"/>
          <w:spacing w:val="3"/>
          <w:sz w:val="24"/>
          <w:szCs w:val="24"/>
        </w:rPr>
      </w:pPr>
      <w:r w:rsidRPr="004325FD">
        <w:rPr>
          <w:rFonts w:ascii="Arial" w:eastAsia="Times New Roman" w:hAnsi="Arial" w:cs="Arial"/>
          <w:b/>
          <w:bCs/>
          <w:color w:val="484848"/>
          <w:spacing w:val="3"/>
          <w:sz w:val="24"/>
          <w:szCs w:val="24"/>
        </w:rPr>
        <w:t>Definition of human shields</w:t>
      </w:r>
    </w:p>
    <w:p w:rsidR="004325FD" w:rsidRPr="004325FD" w:rsidRDefault="004325FD" w:rsidP="004325FD">
      <w:pPr>
        <w:spacing w:after="0" w:line="240" w:lineRule="auto"/>
        <w:rPr>
          <w:rFonts w:ascii="Times New Roman" w:eastAsia="Times New Roman" w:hAnsi="Times New Roman" w:cs="Times New Roman"/>
          <w:sz w:val="24"/>
          <w:szCs w:val="24"/>
        </w:rPr>
      </w:pPr>
      <w:r w:rsidRPr="004325FD">
        <w:rPr>
          <w:rFonts w:ascii="Arial" w:eastAsia="Times New Roman" w:hAnsi="Arial" w:cs="Arial"/>
          <w:color w:val="484848"/>
          <w:spacing w:val="3"/>
          <w:sz w:val="19"/>
          <w:szCs w:val="19"/>
          <w:shd w:val="clear" w:color="auto" w:fill="FBFAF6"/>
        </w:rPr>
        <w:lastRenderedPageBreak/>
        <w:t>The prohibition of using human shields in the Geneva Conventions, Additional Protocol I and the Statute of the International Criminal Court are couched in terms of using the presence (or movements) of civilians or other protected persons to render certain points or areas (or military forces) immune from military operations.</w:t>
      </w:r>
      <w:bookmarkStart w:id="18" w:name="refFn_61_18"/>
      <w:r w:rsidRPr="004325FD">
        <w:rPr>
          <w:rFonts w:ascii="Arial" w:eastAsia="Times New Roman" w:hAnsi="Arial" w:cs="Arial"/>
          <w:color w:val="484848"/>
          <w:spacing w:val="3"/>
          <w:sz w:val="19"/>
          <w:szCs w:val="19"/>
          <w:shd w:val="clear" w:color="auto" w:fill="FBFAF6"/>
        </w:rPr>
        <w:fldChar w:fldCharType="begin"/>
      </w:r>
      <w:r w:rsidRPr="004325FD">
        <w:rPr>
          <w:rFonts w:ascii="Arial" w:eastAsia="Times New Roman" w:hAnsi="Arial" w:cs="Arial"/>
          <w:color w:val="484848"/>
          <w:spacing w:val="3"/>
          <w:sz w:val="19"/>
          <w:szCs w:val="19"/>
          <w:shd w:val="clear" w:color="auto" w:fill="FBFAF6"/>
        </w:rPr>
        <w:instrText xml:space="preserve"> HYPERLINK "https://www.icrc.org/customary-ihl/eng/docs/v1_rul_rule97" \l "Fn_61_18" </w:instrText>
      </w:r>
      <w:r w:rsidRPr="004325FD">
        <w:rPr>
          <w:rFonts w:ascii="Arial" w:eastAsia="Times New Roman" w:hAnsi="Arial" w:cs="Arial"/>
          <w:color w:val="484848"/>
          <w:spacing w:val="3"/>
          <w:sz w:val="19"/>
          <w:szCs w:val="19"/>
          <w:shd w:val="clear" w:color="auto" w:fill="FBFAF6"/>
        </w:rPr>
        <w:fldChar w:fldCharType="separate"/>
      </w:r>
      <w:r w:rsidRPr="004325FD">
        <w:rPr>
          <w:rFonts w:ascii="Arial" w:eastAsia="Times New Roman" w:hAnsi="Arial" w:cs="Arial"/>
          <w:i/>
          <w:iCs/>
          <w:color w:val="4C7C8E"/>
          <w:spacing w:val="3"/>
          <w:sz w:val="15"/>
          <w:szCs w:val="15"/>
          <w:shd w:val="clear" w:color="auto" w:fill="FBFAF6"/>
        </w:rPr>
        <w:t>[18]</w:t>
      </w:r>
      <w:r w:rsidRPr="004325FD">
        <w:rPr>
          <w:rFonts w:ascii="Arial" w:eastAsia="Times New Roman" w:hAnsi="Arial" w:cs="Arial"/>
          <w:color w:val="484848"/>
          <w:spacing w:val="3"/>
          <w:sz w:val="19"/>
          <w:szCs w:val="19"/>
          <w:shd w:val="clear" w:color="auto" w:fill="FBFAF6"/>
        </w:rPr>
        <w:fldChar w:fldCharType="end"/>
      </w:r>
      <w:bookmarkEnd w:id="18"/>
      <w:r w:rsidRPr="004325FD">
        <w:rPr>
          <w:rFonts w:ascii="Arial" w:eastAsia="Times New Roman" w:hAnsi="Arial" w:cs="Arial"/>
          <w:color w:val="484848"/>
          <w:spacing w:val="3"/>
          <w:sz w:val="19"/>
          <w:szCs w:val="19"/>
          <w:shd w:val="clear" w:color="auto" w:fill="FBFAF6"/>
        </w:rPr>
        <w:t xml:space="preserve">  Most examples given in military manuals, or which </w:t>
      </w:r>
      <w:proofErr w:type="gramStart"/>
      <w:r w:rsidRPr="004325FD">
        <w:rPr>
          <w:rFonts w:ascii="Arial" w:eastAsia="Times New Roman" w:hAnsi="Arial" w:cs="Arial"/>
          <w:color w:val="484848"/>
          <w:spacing w:val="3"/>
          <w:sz w:val="19"/>
          <w:szCs w:val="19"/>
          <w:shd w:val="clear" w:color="auto" w:fill="FBFAF6"/>
        </w:rPr>
        <w:t>have been the object</w:t>
      </w:r>
      <w:proofErr w:type="gramEnd"/>
      <w:r w:rsidRPr="004325FD">
        <w:rPr>
          <w:rFonts w:ascii="Arial" w:eastAsia="Times New Roman" w:hAnsi="Arial" w:cs="Arial"/>
          <w:color w:val="484848"/>
          <w:spacing w:val="3"/>
          <w:sz w:val="19"/>
          <w:szCs w:val="19"/>
          <w:shd w:val="clear" w:color="auto" w:fill="FBFAF6"/>
        </w:rPr>
        <w:t xml:space="preserve"> of condemnations, have been cases where persons were actually taken to military objectives in order to shield those objectives from attacks. The military manuals of New Zealand and the United Kingdom give as examples the placing of persons in or next to ammunition trains.</w:t>
      </w:r>
      <w:bookmarkStart w:id="19" w:name="refFn_61_19"/>
      <w:r w:rsidRPr="004325FD">
        <w:rPr>
          <w:rFonts w:ascii="Arial" w:eastAsia="Times New Roman" w:hAnsi="Arial" w:cs="Arial"/>
          <w:color w:val="484848"/>
          <w:spacing w:val="3"/>
          <w:sz w:val="19"/>
          <w:szCs w:val="19"/>
          <w:shd w:val="clear" w:color="auto" w:fill="FBFAF6"/>
        </w:rPr>
        <w:fldChar w:fldCharType="begin"/>
      </w:r>
      <w:r w:rsidRPr="004325FD">
        <w:rPr>
          <w:rFonts w:ascii="Arial" w:eastAsia="Times New Roman" w:hAnsi="Arial" w:cs="Arial"/>
          <w:color w:val="484848"/>
          <w:spacing w:val="3"/>
          <w:sz w:val="19"/>
          <w:szCs w:val="19"/>
          <w:shd w:val="clear" w:color="auto" w:fill="FBFAF6"/>
        </w:rPr>
        <w:instrText xml:space="preserve"> HYPERLINK "https://www.icrc.org/customary-ihl/eng/docs/v1_rul_rule97" \l "Fn_61_19" </w:instrText>
      </w:r>
      <w:r w:rsidRPr="004325FD">
        <w:rPr>
          <w:rFonts w:ascii="Arial" w:eastAsia="Times New Roman" w:hAnsi="Arial" w:cs="Arial"/>
          <w:color w:val="484848"/>
          <w:spacing w:val="3"/>
          <w:sz w:val="19"/>
          <w:szCs w:val="19"/>
          <w:shd w:val="clear" w:color="auto" w:fill="FBFAF6"/>
        </w:rPr>
        <w:fldChar w:fldCharType="separate"/>
      </w:r>
      <w:r w:rsidRPr="004325FD">
        <w:rPr>
          <w:rFonts w:ascii="Arial" w:eastAsia="Times New Roman" w:hAnsi="Arial" w:cs="Arial"/>
          <w:i/>
          <w:iCs/>
          <w:color w:val="4C7C8E"/>
          <w:spacing w:val="3"/>
          <w:sz w:val="15"/>
          <w:szCs w:val="15"/>
          <w:shd w:val="clear" w:color="auto" w:fill="FBFAF6"/>
        </w:rPr>
        <w:t>[19]</w:t>
      </w:r>
      <w:r w:rsidRPr="004325FD">
        <w:rPr>
          <w:rFonts w:ascii="Arial" w:eastAsia="Times New Roman" w:hAnsi="Arial" w:cs="Arial"/>
          <w:color w:val="484848"/>
          <w:spacing w:val="3"/>
          <w:sz w:val="19"/>
          <w:szCs w:val="19"/>
          <w:shd w:val="clear" w:color="auto" w:fill="FBFAF6"/>
        </w:rPr>
        <w:fldChar w:fldCharType="end"/>
      </w:r>
      <w:bookmarkEnd w:id="19"/>
      <w:r w:rsidRPr="004325FD">
        <w:rPr>
          <w:rFonts w:ascii="Arial" w:eastAsia="Times New Roman" w:hAnsi="Arial" w:cs="Arial"/>
          <w:color w:val="484848"/>
          <w:spacing w:val="3"/>
          <w:sz w:val="19"/>
          <w:szCs w:val="19"/>
          <w:shd w:val="clear" w:color="auto" w:fill="FBFAF6"/>
        </w:rPr>
        <w:t xml:space="preserve">  There were many condemnations of the threat by Iraq to round up and place prisoners of war and civilians in strategic sites and around military </w:t>
      </w:r>
      <w:proofErr w:type="spellStart"/>
      <w:r w:rsidRPr="004325FD">
        <w:rPr>
          <w:rFonts w:ascii="Arial" w:eastAsia="Times New Roman" w:hAnsi="Arial" w:cs="Arial"/>
          <w:color w:val="484848"/>
          <w:spacing w:val="3"/>
          <w:sz w:val="19"/>
          <w:szCs w:val="19"/>
          <w:shd w:val="clear" w:color="auto" w:fill="FBFAF6"/>
        </w:rPr>
        <w:t>defence</w:t>
      </w:r>
      <w:proofErr w:type="spellEnd"/>
      <w:r w:rsidRPr="004325FD">
        <w:rPr>
          <w:rFonts w:ascii="Arial" w:eastAsia="Times New Roman" w:hAnsi="Arial" w:cs="Arial"/>
          <w:color w:val="484848"/>
          <w:spacing w:val="3"/>
          <w:sz w:val="19"/>
          <w:szCs w:val="19"/>
          <w:shd w:val="clear" w:color="auto" w:fill="FBFAF6"/>
        </w:rPr>
        <w:t xml:space="preserve"> points.</w:t>
      </w:r>
      <w:bookmarkStart w:id="20" w:name="refFn_61_20"/>
      <w:r w:rsidRPr="004325FD">
        <w:rPr>
          <w:rFonts w:ascii="Arial" w:eastAsia="Times New Roman" w:hAnsi="Arial" w:cs="Arial"/>
          <w:color w:val="484848"/>
          <w:spacing w:val="3"/>
          <w:sz w:val="19"/>
          <w:szCs w:val="19"/>
          <w:shd w:val="clear" w:color="auto" w:fill="FBFAF6"/>
        </w:rPr>
        <w:fldChar w:fldCharType="begin"/>
      </w:r>
      <w:r w:rsidRPr="004325FD">
        <w:rPr>
          <w:rFonts w:ascii="Arial" w:eastAsia="Times New Roman" w:hAnsi="Arial" w:cs="Arial"/>
          <w:color w:val="484848"/>
          <w:spacing w:val="3"/>
          <w:sz w:val="19"/>
          <w:szCs w:val="19"/>
          <w:shd w:val="clear" w:color="auto" w:fill="FBFAF6"/>
        </w:rPr>
        <w:instrText xml:space="preserve"> HYPERLINK "https://www.icrc.org/customary-ihl/eng/docs/v1_rul_rule97" \l "Fn_61_20" </w:instrText>
      </w:r>
      <w:r w:rsidRPr="004325FD">
        <w:rPr>
          <w:rFonts w:ascii="Arial" w:eastAsia="Times New Roman" w:hAnsi="Arial" w:cs="Arial"/>
          <w:color w:val="484848"/>
          <w:spacing w:val="3"/>
          <w:sz w:val="19"/>
          <w:szCs w:val="19"/>
          <w:shd w:val="clear" w:color="auto" w:fill="FBFAF6"/>
        </w:rPr>
        <w:fldChar w:fldCharType="separate"/>
      </w:r>
      <w:r w:rsidRPr="004325FD">
        <w:rPr>
          <w:rFonts w:ascii="Arial" w:eastAsia="Times New Roman" w:hAnsi="Arial" w:cs="Arial"/>
          <w:i/>
          <w:iCs/>
          <w:color w:val="4C7C8E"/>
          <w:spacing w:val="3"/>
          <w:sz w:val="15"/>
          <w:szCs w:val="15"/>
          <w:shd w:val="clear" w:color="auto" w:fill="FBFAF6"/>
        </w:rPr>
        <w:t>[20]</w:t>
      </w:r>
      <w:r w:rsidRPr="004325FD">
        <w:rPr>
          <w:rFonts w:ascii="Arial" w:eastAsia="Times New Roman" w:hAnsi="Arial" w:cs="Arial"/>
          <w:color w:val="484848"/>
          <w:spacing w:val="3"/>
          <w:sz w:val="19"/>
          <w:szCs w:val="19"/>
          <w:shd w:val="clear" w:color="auto" w:fill="FBFAF6"/>
        </w:rPr>
        <w:fldChar w:fldCharType="end"/>
      </w:r>
      <w:bookmarkEnd w:id="20"/>
      <w:r w:rsidRPr="004325FD">
        <w:rPr>
          <w:rFonts w:ascii="Arial" w:eastAsia="Times New Roman" w:hAnsi="Arial" w:cs="Arial"/>
          <w:color w:val="484848"/>
          <w:spacing w:val="3"/>
          <w:sz w:val="19"/>
          <w:szCs w:val="19"/>
          <w:shd w:val="clear" w:color="auto" w:fill="FBFAF6"/>
        </w:rPr>
        <w:t>  Other condemnations on the basis of this prohibition related to rounding up civilians and putting them in front of military units in the conflicts in the former Yugoslavia and Liberia.</w:t>
      </w:r>
      <w:bookmarkStart w:id="21" w:name="refFn_61_21"/>
      <w:r w:rsidRPr="004325FD">
        <w:rPr>
          <w:rFonts w:ascii="Arial" w:eastAsia="Times New Roman" w:hAnsi="Arial" w:cs="Arial"/>
          <w:color w:val="484848"/>
          <w:spacing w:val="3"/>
          <w:sz w:val="19"/>
          <w:szCs w:val="19"/>
          <w:shd w:val="clear" w:color="auto" w:fill="FBFAF6"/>
        </w:rPr>
        <w:fldChar w:fldCharType="begin"/>
      </w:r>
      <w:r w:rsidRPr="004325FD">
        <w:rPr>
          <w:rFonts w:ascii="Arial" w:eastAsia="Times New Roman" w:hAnsi="Arial" w:cs="Arial"/>
          <w:color w:val="484848"/>
          <w:spacing w:val="3"/>
          <w:sz w:val="19"/>
          <w:szCs w:val="19"/>
          <w:shd w:val="clear" w:color="auto" w:fill="FBFAF6"/>
        </w:rPr>
        <w:instrText xml:space="preserve"> HYPERLINK "https://www.icrc.org/customary-ihl/eng/docs/v1_rul_rule97" \l "Fn_61_21" </w:instrText>
      </w:r>
      <w:r w:rsidRPr="004325FD">
        <w:rPr>
          <w:rFonts w:ascii="Arial" w:eastAsia="Times New Roman" w:hAnsi="Arial" w:cs="Arial"/>
          <w:color w:val="484848"/>
          <w:spacing w:val="3"/>
          <w:sz w:val="19"/>
          <w:szCs w:val="19"/>
          <w:shd w:val="clear" w:color="auto" w:fill="FBFAF6"/>
        </w:rPr>
        <w:fldChar w:fldCharType="separate"/>
      </w:r>
      <w:r w:rsidRPr="004325FD">
        <w:rPr>
          <w:rFonts w:ascii="Arial" w:eastAsia="Times New Roman" w:hAnsi="Arial" w:cs="Arial"/>
          <w:i/>
          <w:iCs/>
          <w:color w:val="4C7C8E"/>
          <w:spacing w:val="3"/>
          <w:sz w:val="15"/>
          <w:szCs w:val="15"/>
          <w:shd w:val="clear" w:color="auto" w:fill="FBFAF6"/>
        </w:rPr>
        <w:t>[21]</w:t>
      </w:r>
      <w:r w:rsidRPr="004325FD">
        <w:rPr>
          <w:rFonts w:ascii="Arial" w:eastAsia="Times New Roman" w:hAnsi="Arial" w:cs="Arial"/>
          <w:color w:val="484848"/>
          <w:spacing w:val="3"/>
          <w:sz w:val="19"/>
          <w:szCs w:val="19"/>
          <w:shd w:val="clear" w:color="auto" w:fill="FBFAF6"/>
        </w:rPr>
        <w:fldChar w:fldCharType="end"/>
      </w:r>
      <w:bookmarkEnd w:id="21"/>
      <w:r w:rsidRPr="004325FD">
        <w:rPr>
          <w:rFonts w:ascii="Arial" w:eastAsia="Times New Roman" w:hAnsi="Arial" w:cs="Arial"/>
          <w:color w:val="484848"/>
          <w:spacing w:val="3"/>
          <w:sz w:val="19"/>
          <w:szCs w:val="19"/>
          <w:shd w:val="clear" w:color="auto" w:fill="FBFAF6"/>
        </w:rPr>
        <w:t> </w:t>
      </w:r>
      <w:r w:rsidRPr="004325FD">
        <w:rPr>
          <w:rFonts w:ascii="Arial" w:eastAsia="Times New Roman" w:hAnsi="Arial" w:cs="Arial"/>
          <w:color w:val="484848"/>
          <w:spacing w:val="3"/>
          <w:sz w:val="19"/>
          <w:szCs w:val="19"/>
          <w:shd w:val="clear" w:color="auto" w:fill="FBFAF6"/>
        </w:rPr>
        <w:br/>
        <w:t>In the Review of the Indictments in the </w:t>
      </w:r>
      <w:proofErr w:type="spellStart"/>
      <w:r w:rsidRPr="004325FD">
        <w:rPr>
          <w:rFonts w:ascii="Arial" w:eastAsia="Times New Roman" w:hAnsi="Arial" w:cs="Arial"/>
          <w:i/>
          <w:iCs/>
          <w:color w:val="484848"/>
          <w:spacing w:val="3"/>
          <w:sz w:val="19"/>
          <w:szCs w:val="19"/>
          <w:shd w:val="clear" w:color="auto" w:fill="FBFAF6"/>
        </w:rPr>
        <w:t>Karadžić</w:t>
      </w:r>
      <w:proofErr w:type="spellEnd"/>
      <w:r w:rsidRPr="004325FD">
        <w:rPr>
          <w:rFonts w:ascii="Arial" w:eastAsia="Times New Roman" w:hAnsi="Arial" w:cs="Arial"/>
          <w:i/>
          <w:iCs/>
          <w:color w:val="484848"/>
          <w:spacing w:val="3"/>
          <w:sz w:val="19"/>
          <w:szCs w:val="19"/>
          <w:shd w:val="clear" w:color="auto" w:fill="FBFAF6"/>
        </w:rPr>
        <w:t xml:space="preserve"> and </w:t>
      </w:r>
      <w:proofErr w:type="spellStart"/>
      <w:r w:rsidRPr="004325FD">
        <w:rPr>
          <w:rFonts w:ascii="Arial" w:eastAsia="Times New Roman" w:hAnsi="Arial" w:cs="Arial"/>
          <w:i/>
          <w:iCs/>
          <w:color w:val="484848"/>
          <w:spacing w:val="3"/>
          <w:sz w:val="19"/>
          <w:szCs w:val="19"/>
          <w:shd w:val="clear" w:color="auto" w:fill="FBFAF6"/>
        </w:rPr>
        <w:t>Mladić</w:t>
      </w:r>
      <w:proofErr w:type="spellEnd"/>
      <w:r w:rsidRPr="004325FD">
        <w:rPr>
          <w:rFonts w:ascii="Arial" w:eastAsia="Times New Roman" w:hAnsi="Arial" w:cs="Arial"/>
          <w:i/>
          <w:iCs/>
          <w:color w:val="484848"/>
          <w:spacing w:val="3"/>
          <w:sz w:val="19"/>
          <w:szCs w:val="19"/>
          <w:shd w:val="clear" w:color="auto" w:fill="FBFAF6"/>
        </w:rPr>
        <w:t xml:space="preserve"> case</w:t>
      </w:r>
      <w:r w:rsidRPr="004325FD">
        <w:rPr>
          <w:rFonts w:ascii="Arial" w:eastAsia="Times New Roman" w:hAnsi="Arial" w:cs="Arial"/>
          <w:color w:val="484848"/>
          <w:spacing w:val="3"/>
          <w:sz w:val="19"/>
          <w:szCs w:val="19"/>
          <w:shd w:val="clear" w:color="auto" w:fill="FBFAF6"/>
        </w:rPr>
        <w:t xml:space="preserve">, the International Criminal Tribunal for the former Yugoslavia qualified physically securing or otherwise holding peacekeeping forces against their will at potential NATO air targets, including ammunition bunkers, a radar site and a communications </w:t>
      </w:r>
      <w:proofErr w:type="spellStart"/>
      <w:r w:rsidRPr="004325FD">
        <w:rPr>
          <w:rFonts w:ascii="Arial" w:eastAsia="Times New Roman" w:hAnsi="Arial" w:cs="Arial"/>
          <w:color w:val="484848"/>
          <w:spacing w:val="3"/>
          <w:sz w:val="19"/>
          <w:szCs w:val="19"/>
          <w:shd w:val="clear" w:color="auto" w:fill="FBFAF6"/>
        </w:rPr>
        <w:t>centre</w:t>
      </w:r>
      <w:proofErr w:type="spellEnd"/>
      <w:r w:rsidRPr="004325FD">
        <w:rPr>
          <w:rFonts w:ascii="Arial" w:eastAsia="Times New Roman" w:hAnsi="Arial" w:cs="Arial"/>
          <w:color w:val="484848"/>
          <w:spacing w:val="3"/>
          <w:sz w:val="19"/>
          <w:szCs w:val="19"/>
          <w:shd w:val="clear" w:color="auto" w:fill="FBFAF6"/>
        </w:rPr>
        <w:t>, as using “human shields”.</w:t>
      </w:r>
      <w:bookmarkStart w:id="22" w:name="refFn_61_22"/>
      <w:r w:rsidRPr="004325FD">
        <w:rPr>
          <w:rFonts w:ascii="Arial" w:eastAsia="Times New Roman" w:hAnsi="Arial" w:cs="Arial"/>
          <w:color w:val="484848"/>
          <w:spacing w:val="3"/>
          <w:sz w:val="19"/>
          <w:szCs w:val="19"/>
          <w:shd w:val="clear" w:color="auto" w:fill="FBFAF6"/>
        </w:rPr>
        <w:fldChar w:fldCharType="begin"/>
      </w:r>
      <w:r w:rsidRPr="004325FD">
        <w:rPr>
          <w:rFonts w:ascii="Arial" w:eastAsia="Times New Roman" w:hAnsi="Arial" w:cs="Arial"/>
          <w:color w:val="484848"/>
          <w:spacing w:val="3"/>
          <w:sz w:val="19"/>
          <w:szCs w:val="19"/>
          <w:shd w:val="clear" w:color="auto" w:fill="FBFAF6"/>
        </w:rPr>
        <w:instrText xml:space="preserve"> HYPERLINK "https://www.icrc.org/customary-ihl/eng/docs/v1_rul_rule97" \l "Fn_61_22" </w:instrText>
      </w:r>
      <w:r w:rsidRPr="004325FD">
        <w:rPr>
          <w:rFonts w:ascii="Arial" w:eastAsia="Times New Roman" w:hAnsi="Arial" w:cs="Arial"/>
          <w:color w:val="484848"/>
          <w:spacing w:val="3"/>
          <w:sz w:val="19"/>
          <w:szCs w:val="19"/>
          <w:shd w:val="clear" w:color="auto" w:fill="FBFAF6"/>
        </w:rPr>
        <w:fldChar w:fldCharType="separate"/>
      </w:r>
      <w:r w:rsidRPr="004325FD">
        <w:rPr>
          <w:rFonts w:ascii="Arial" w:eastAsia="Times New Roman" w:hAnsi="Arial" w:cs="Arial"/>
          <w:i/>
          <w:iCs/>
          <w:color w:val="4C7C8E"/>
          <w:spacing w:val="3"/>
          <w:sz w:val="15"/>
          <w:szCs w:val="15"/>
          <w:shd w:val="clear" w:color="auto" w:fill="FBFAF6"/>
        </w:rPr>
        <w:t>[22]</w:t>
      </w:r>
      <w:r w:rsidRPr="004325FD">
        <w:rPr>
          <w:rFonts w:ascii="Arial" w:eastAsia="Times New Roman" w:hAnsi="Arial" w:cs="Arial"/>
          <w:color w:val="484848"/>
          <w:spacing w:val="3"/>
          <w:sz w:val="19"/>
          <w:szCs w:val="19"/>
          <w:shd w:val="clear" w:color="auto" w:fill="FBFAF6"/>
        </w:rPr>
        <w:fldChar w:fldCharType="end"/>
      </w:r>
      <w:bookmarkEnd w:id="22"/>
      <w:r w:rsidRPr="004325FD">
        <w:rPr>
          <w:rFonts w:ascii="Arial" w:eastAsia="Times New Roman" w:hAnsi="Arial" w:cs="Arial"/>
          <w:color w:val="484848"/>
          <w:spacing w:val="3"/>
          <w:sz w:val="19"/>
          <w:szCs w:val="19"/>
          <w:shd w:val="clear" w:color="auto" w:fill="FBFAF6"/>
        </w:rPr>
        <w:t> </w:t>
      </w:r>
      <w:r w:rsidRPr="004325FD">
        <w:rPr>
          <w:rFonts w:ascii="Arial" w:eastAsia="Times New Roman" w:hAnsi="Arial" w:cs="Arial"/>
          <w:color w:val="484848"/>
          <w:spacing w:val="3"/>
          <w:sz w:val="19"/>
          <w:szCs w:val="19"/>
          <w:shd w:val="clear" w:color="auto" w:fill="FBFAF6"/>
        </w:rPr>
        <w:br/>
        <w:t>It can be concluded that the use of human shields requires an intentional co-location of military objectives and civilians or persons </w:t>
      </w:r>
      <w:r w:rsidRPr="004325FD">
        <w:rPr>
          <w:rFonts w:ascii="Arial" w:eastAsia="Times New Roman" w:hAnsi="Arial" w:cs="Arial"/>
          <w:i/>
          <w:iCs/>
          <w:color w:val="484848"/>
          <w:spacing w:val="3"/>
          <w:sz w:val="19"/>
          <w:szCs w:val="19"/>
          <w:shd w:val="clear" w:color="auto" w:fill="FBFAF6"/>
        </w:rPr>
        <w:t>hors de combat</w:t>
      </w:r>
      <w:r w:rsidRPr="004325FD">
        <w:rPr>
          <w:rFonts w:ascii="Arial" w:eastAsia="Times New Roman" w:hAnsi="Arial" w:cs="Arial"/>
          <w:color w:val="484848"/>
          <w:spacing w:val="3"/>
          <w:sz w:val="19"/>
          <w:szCs w:val="19"/>
          <w:shd w:val="clear" w:color="auto" w:fill="FBFAF6"/>
        </w:rPr>
        <w:t> with the specific intent of trying to prevent the targeting of those military objectives.</w:t>
      </w:r>
      <w:r w:rsidRPr="004325FD">
        <w:rPr>
          <w:rFonts w:ascii="Arial" w:eastAsia="Times New Roman" w:hAnsi="Arial" w:cs="Arial"/>
          <w:color w:val="484848"/>
          <w:spacing w:val="3"/>
          <w:sz w:val="19"/>
          <w:szCs w:val="19"/>
          <w:shd w:val="clear" w:color="auto" w:fill="FBFAF6"/>
        </w:rPr>
        <w:br/>
      </w:r>
      <w:r w:rsidRPr="004325FD">
        <w:rPr>
          <w:rFonts w:ascii="Arial" w:eastAsia="Times New Roman" w:hAnsi="Arial" w:cs="Arial"/>
          <w:color w:val="484848"/>
          <w:spacing w:val="3"/>
          <w:sz w:val="19"/>
          <w:szCs w:val="19"/>
          <w:shd w:val="clear" w:color="auto" w:fill="FBFAF6"/>
        </w:rPr>
        <w:br/>
      </w:r>
    </w:p>
    <w:bookmarkStart w:id="23" w:name="Fn_61_1"/>
    <w:p w:rsidR="004325FD" w:rsidRPr="004325FD" w:rsidRDefault="004325FD" w:rsidP="004325FD">
      <w:pPr>
        <w:shd w:val="clear" w:color="auto" w:fill="ECECEC"/>
        <w:spacing w:after="0" w:line="264" w:lineRule="atLeast"/>
        <w:jc w:val="both"/>
        <w:rPr>
          <w:rFonts w:ascii="Arial" w:eastAsia="Times New Roman" w:hAnsi="Arial" w:cs="Arial"/>
          <w:color w:val="000000"/>
          <w:spacing w:val="3"/>
          <w:sz w:val="19"/>
          <w:szCs w:val="19"/>
        </w:rPr>
      </w:pPr>
      <w:r w:rsidRPr="004325FD">
        <w:rPr>
          <w:rFonts w:ascii="Arial" w:eastAsia="Times New Roman" w:hAnsi="Arial" w:cs="Arial"/>
          <w:color w:val="000000"/>
          <w:spacing w:val="3"/>
          <w:sz w:val="19"/>
          <w:szCs w:val="19"/>
        </w:rPr>
        <w:fldChar w:fldCharType="begin"/>
      </w:r>
      <w:r w:rsidRPr="004325FD">
        <w:rPr>
          <w:rFonts w:ascii="Arial" w:eastAsia="Times New Roman" w:hAnsi="Arial" w:cs="Arial"/>
          <w:color w:val="000000"/>
          <w:spacing w:val="3"/>
          <w:sz w:val="19"/>
          <w:szCs w:val="19"/>
        </w:rPr>
        <w:instrText xml:space="preserve"> HYPERLINK "https://www.icrc.org/customary-ihl/eng/docs/v1_rul_rule97" \l "refFn_61_1" </w:instrText>
      </w:r>
      <w:r w:rsidRPr="004325FD">
        <w:rPr>
          <w:rFonts w:ascii="Arial" w:eastAsia="Times New Roman" w:hAnsi="Arial" w:cs="Arial"/>
          <w:color w:val="000000"/>
          <w:spacing w:val="3"/>
          <w:sz w:val="19"/>
          <w:szCs w:val="19"/>
        </w:rPr>
        <w:fldChar w:fldCharType="separate"/>
      </w:r>
      <w:r w:rsidRPr="004325FD">
        <w:rPr>
          <w:rFonts w:ascii="Arial" w:eastAsia="Times New Roman" w:hAnsi="Arial" w:cs="Arial"/>
          <w:i/>
          <w:iCs/>
          <w:color w:val="4C7C8E"/>
          <w:spacing w:val="3"/>
          <w:sz w:val="15"/>
          <w:szCs w:val="15"/>
        </w:rPr>
        <w:t>[1]</w:t>
      </w:r>
      <w:r w:rsidRPr="004325FD">
        <w:rPr>
          <w:rFonts w:ascii="Arial" w:eastAsia="Times New Roman" w:hAnsi="Arial" w:cs="Arial"/>
          <w:color w:val="000000"/>
          <w:spacing w:val="3"/>
          <w:sz w:val="19"/>
          <w:szCs w:val="19"/>
        </w:rPr>
        <w:fldChar w:fldCharType="end"/>
      </w:r>
      <w:bookmarkEnd w:id="23"/>
      <w:r w:rsidRPr="004325FD">
        <w:rPr>
          <w:rFonts w:ascii="Arial" w:eastAsia="Times New Roman" w:hAnsi="Arial" w:cs="Arial"/>
          <w:color w:val="000000"/>
          <w:spacing w:val="3"/>
          <w:sz w:val="19"/>
          <w:szCs w:val="19"/>
        </w:rPr>
        <w:t xml:space="preserve"> Third Geneva Convention, Article 23, first paragraph (cited in Vol. II, Ch. 32, § 2251); Fourth Geneva Convention, Article 28 (</w:t>
      </w:r>
      <w:proofErr w:type="gramStart"/>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w:t>
      </w:r>
      <w:proofErr w:type="gramEnd"/>
      <w:r w:rsidRPr="004325FD">
        <w:rPr>
          <w:rFonts w:ascii="Arial" w:eastAsia="Times New Roman" w:hAnsi="Arial" w:cs="Arial"/>
          <w:color w:val="000000"/>
          <w:spacing w:val="3"/>
          <w:sz w:val="19"/>
          <w:szCs w:val="19"/>
        </w:rPr>
        <w:t xml:space="preserve"> § 2252); Additional Protocol I, Article 51(7) (adopted by consensus)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2254).</w:t>
      </w:r>
    </w:p>
    <w:bookmarkStart w:id="24" w:name="Fn_61_2"/>
    <w:p w:rsidR="004325FD" w:rsidRPr="004325FD" w:rsidRDefault="004325FD" w:rsidP="004325FD">
      <w:pPr>
        <w:shd w:val="clear" w:color="auto" w:fill="ECECEC"/>
        <w:spacing w:after="0" w:line="264" w:lineRule="atLeast"/>
        <w:jc w:val="both"/>
        <w:rPr>
          <w:rFonts w:ascii="Arial" w:eastAsia="Times New Roman" w:hAnsi="Arial" w:cs="Arial"/>
          <w:color w:val="000000"/>
          <w:spacing w:val="3"/>
          <w:sz w:val="19"/>
          <w:szCs w:val="19"/>
        </w:rPr>
      </w:pPr>
      <w:r w:rsidRPr="004325FD">
        <w:rPr>
          <w:rFonts w:ascii="Arial" w:eastAsia="Times New Roman" w:hAnsi="Arial" w:cs="Arial"/>
          <w:color w:val="000000"/>
          <w:spacing w:val="3"/>
          <w:sz w:val="19"/>
          <w:szCs w:val="19"/>
        </w:rPr>
        <w:fldChar w:fldCharType="begin"/>
      </w:r>
      <w:r w:rsidRPr="004325FD">
        <w:rPr>
          <w:rFonts w:ascii="Arial" w:eastAsia="Times New Roman" w:hAnsi="Arial" w:cs="Arial"/>
          <w:color w:val="000000"/>
          <w:spacing w:val="3"/>
          <w:sz w:val="19"/>
          <w:szCs w:val="19"/>
        </w:rPr>
        <w:instrText xml:space="preserve"> HYPERLINK "https://www.icrc.org/customary-ihl/eng/docs/v1_rul_rule97" \l "refFn_61_2" </w:instrText>
      </w:r>
      <w:r w:rsidRPr="004325FD">
        <w:rPr>
          <w:rFonts w:ascii="Arial" w:eastAsia="Times New Roman" w:hAnsi="Arial" w:cs="Arial"/>
          <w:color w:val="000000"/>
          <w:spacing w:val="3"/>
          <w:sz w:val="19"/>
          <w:szCs w:val="19"/>
        </w:rPr>
        <w:fldChar w:fldCharType="separate"/>
      </w:r>
      <w:r w:rsidRPr="004325FD">
        <w:rPr>
          <w:rFonts w:ascii="Arial" w:eastAsia="Times New Roman" w:hAnsi="Arial" w:cs="Arial"/>
          <w:i/>
          <w:iCs/>
          <w:color w:val="4C7C8E"/>
          <w:spacing w:val="3"/>
          <w:sz w:val="15"/>
          <w:szCs w:val="15"/>
        </w:rPr>
        <w:t>[2]</w:t>
      </w:r>
      <w:r w:rsidRPr="004325FD">
        <w:rPr>
          <w:rFonts w:ascii="Arial" w:eastAsia="Times New Roman" w:hAnsi="Arial" w:cs="Arial"/>
          <w:color w:val="000000"/>
          <w:spacing w:val="3"/>
          <w:sz w:val="19"/>
          <w:szCs w:val="19"/>
        </w:rPr>
        <w:fldChar w:fldCharType="end"/>
      </w:r>
      <w:bookmarkEnd w:id="24"/>
      <w:r w:rsidRPr="004325FD">
        <w:rPr>
          <w:rFonts w:ascii="Arial" w:eastAsia="Times New Roman" w:hAnsi="Arial" w:cs="Arial"/>
          <w:color w:val="000000"/>
          <w:spacing w:val="3"/>
          <w:sz w:val="19"/>
          <w:szCs w:val="19"/>
        </w:rPr>
        <w:t xml:space="preserve"> ICC Statute, Article 8(2</w:t>
      </w:r>
      <w:proofErr w:type="gramStart"/>
      <w:r w:rsidRPr="004325FD">
        <w:rPr>
          <w:rFonts w:ascii="Arial" w:eastAsia="Times New Roman" w:hAnsi="Arial" w:cs="Arial"/>
          <w:color w:val="000000"/>
          <w:spacing w:val="3"/>
          <w:sz w:val="19"/>
          <w:szCs w:val="19"/>
        </w:rPr>
        <w:t>)(</w:t>
      </w:r>
      <w:proofErr w:type="gramEnd"/>
      <w:r w:rsidRPr="004325FD">
        <w:rPr>
          <w:rFonts w:ascii="Arial" w:eastAsia="Times New Roman" w:hAnsi="Arial" w:cs="Arial"/>
          <w:color w:val="000000"/>
          <w:spacing w:val="3"/>
          <w:sz w:val="19"/>
          <w:szCs w:val="19"/>
        </w:rPr>
        <w:t>b)(xxiii)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2255).</w:t>
      </w:r>
    </w:p>
    <w:bookmarkStart w:id="25" w:name="Fn_61_3"/>
    <w:p w:rsidR="004325FD" w:rsidRPr="004325FD" w:rsidRDefault="004325FD" w:rsidP="004325FD">
      <w:pPr>
        <w:shd w:val="clear" w:color="auto" w:fill="ECECEC"/>
        <w:spacing w:after="0" w:line="264" w:lineRule="atLeast"/>
        <w:jc w:val="both"/>
        <w:rPr>
          <w:rFonts w:ascii="Arial" w:eastAsia="Times New Roman" w:hAnsi="Arial" w:cs="Arial"/>
          <w:color w:val="000000"/>
          <w:spacing w:val="3"/>
          <w:sz w:val="19"/>
          <w:szCs w:val="19"/>
        </w:rPr>
      </w:pPr>
      <w:r w:rsidRPr="004325FD">
        <w:rPr>
          <w:rFonts w:ascii="Arial" w:eastAsia="Times New Roman" w:hAnsi="Arial" w:cs="Arial"/>
          <w:color w:val="000000"/>
          <w:spacing w:val="3"/>
          <w:sz w:val="19"/>
          <w:szCs w:val="19"/>
        </w:rPr>
        <w:fldChar w:fldCharType="begin"/>
      </w:r>
      <w:r w:rsidRPr="004325FD">
        <w:rPr>
          <w:rFonts w:ascii="Arial" w:eastAsia="Times New Roman" w:hAnsi="Arial" w:cs="Arial"/>
          <w:color w:val="000000"/>
          <w:spacing w:val="3"/>
          <w:sz w:val="19"/>
          <w:szCs w:val="19"/>
        </w:rPr>
        <w:instrText xml:space="preserve"> HYPERLINK "https://www.icrc.org/customary-ihl/eng/docs/v1_rul_rule97" \l "refFn_61_3" </w:instrText>
      </w:r>
      <w:r w:rsidRPr="004325FD">
        <w:rPr>
          <w:rFonts w:ascii="Arial" w:eastAsia="Times New Roman" w:hAnsi="Arial" w:cs="Arial"/>
          <w:color w:val="000000"/>
          <w:spacing w:val="3"/>
          <w:sz w:val="19"/>
          <w:szCs w:val="19"/>
        </w:rPr>
        <w:fldChar w:fldCharType="separate"/>
      </w:r>
      <w:r w:rsidRPr="004325FD">
        <w:rPr>
          <w:rFonts w:ascii="Arial" w:eastAsia="Times New Roman" w:hAnsi="Arial" w:cs="Arial"/>
          <w:i/>
          <w:iCs/>
          <w:color w:val="4C7C8E"/>
          <w:spacing w:val="3"/>
          <w:sz w:val="15"/>
          <w:szCs w:val="15"/>
        </w:rPr>
        <w:t>[3]</w:t>
      </w:r>
      <w:r w:rsidRPr="004325FD">
        <w:rPr>
          <w:rFonts w:ascii="Arial" w:eastAsia="Times New Roman" w:hAnsi="Arial" w:cs="Arial"/>
          <w:color w:val="000000"/>
          <w:spacing w:val="3"/>
          <w:sz w:val="19"/>
          <w:szCs w:val="19"/>
        </w:rPr>
        <w:fldChar w:fldCharType="end"/>
      </w:r>
      <w:bookmarkEnd w:id="25"/>
      <w:r w:rsidRPr="004325FD">
        <w:rPr>
          <w:rFonts w:ascii="Arial" w:eastAsia="Times New Roman" w:hAnsi="Arial" w:cs="Arial"/>
          <w:color w:val="000000"/>
          <w:spacing w:val="3"/>
          <w:sz w:val="19"/>
          <w:szCs w:val="19"/>
        </w:rPr>
        <w:t xml:space="preserve"> See, e.g., the military manuals of Argentina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2259), Australia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2260–2261), Belgium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2262), Cameroon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2263), Canada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2264), Colombia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2265), Croatia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2266), Dominican Republic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2267), Ecuador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2268), France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2269–2271), Germany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2272), Israel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2273), Italy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2274), Kenya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2275), Netherlands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2276), New Zealand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2277), Spain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2278), Switzerland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2279), United Kingdom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2280–2281) and United States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2282 and 2284).</w:t>
      </w:r>
    </w:p>
    <w:bookmarkStart w:id="26" w:name="Fn_61_4"/>
    <w:p w:rsidR="004325FD" w:rsidRPr="004325FD" w:rsidRDefault="004325FD" w:rsidP="004325FD">
      <w:pPr>
        <w:shd w:val="clear" w:color="auto" w:fill="ECECEC"/>
        <w:spacing w:after="0" w:line="264" w:lineRule="atLeast"/>
        <w:jc w:val="both"/>
        <w:rPr>
          <w:rFonts w:ascii="Arial" w:eastAsia="Times New Roman" w:hAnsi="Arial" w:cs="Arial"/>
          <w:color w:val="000000"/>
          <w:spacing w:val="3"/>
          <w:sz w:val="19"/>
          <w:szCs w:val="19"/>
        </w:rPr>
      </w:pPr>
      <w:r w:rsidRPr="004325FD">
        <w:rPr>
          <w:rFonts w:ascii="Arial" w:eastAsia="Times New Roman" w:hAnsi="Arial" w:cs="Arial"/>
          <w:color w:val="000000"/>
          <w:spacing w:val="3"/>
          <w:sz w:val="19"/>
          <w:szCs w:val="19"/>
        </w:rPr>
        <w:fldChar w:fldCharType="begin"/>
      </w:r>
      <w:r w:rsidRPr="004325FD">
        <w:rPr>
          <w:rFonts w:ascii="Arial" w:eastAsia="Times New Roman" w:hAnsi="Arial" w:cs="Arial"/>
          <w:color w:val="000000"/>
          <w:spacing w:val="3"/>
          <w:sz w:val="19"/>
          <w:szCs w:val="19"/>
        </w:rPr>
        <w:instrText xml:space="preserve"> HYPERLINK "https://www.icrc.org/customary-ihl/eng/docs/v1_rul_rule97" \l "refFn_61_4" </w:instrText>
      </w:r>
      <w:r w:rsidRPr="004325FD">
        <w:rPr>
          <w:rFonts w:ascii="Arial" w:eastAsia="Times New Roman" w:hAnsi="Arial" w:cs="Arial"/>
          <w:color w:val="000000"/>
          <w:spacing w:val="3"/>
          <w:sz w:val="19"/>
          <w:szCs w:val="19"/>
        </w:rPr>
        <w:fldChar w:fldCharType="separate"/>
      </w:r>
      <w:r w:rsidRPr="004325FD">
        <w:rPr>
          <w:rFonts w:ascii="Arial" w:eastAsia="Times New Roman" w:hAnsi="Arial" w:cs="Arial"/>
          <w:i/>
          <w:iCs/>
          <w:color w:val="4C7C8E"/>
          <w:spacing w:val="3"/>
          <w:sz w:val="15"/>
          <w:szCs w:val="15"/>
        </w:rPr>
        <w:t>[4]</w:t>
      </w:r>
      <w:r w:rsidRPr="004325FD">
        <w:rPr>
          <w:rFonts w:ascii="Arial" w:eastAsia="Times New Roman" w:hAnsi="Arial" w:cs="Arial"/>
          <w:color w:val="000000"/>
          <w:spacing w:val="3"/>
          <w:sz w:val="19"/>
          <w:szCs w:val="19"/>
        </w:rPr>
        <w:fldChar w:fldCharType="end"/>
      </w:r>
      <w:bookmarkEnd w:id="26"/>
      <w:r w:rsidRPr="004325FD">
        <w:rPr>
          <w:rFonts w:ascii="Arial" w:eastAsia="Times New Roman" w:hAnsi="Arial" w:cs="Arial"/>
          <w:color w:val="000000"/>
          <w:spacing w:val="3"/>
          <w:sz w:val="19"/>
          <w:szCs w:val="19"/>
        </w:rPr>
        <w:t xml:space="preserve"> See, e.g., the legislation of Australia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2285), Azerbaijan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2286–2287), Bangladesh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2288), Belarus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2289), Canada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2291), Democratic Republic of the Congo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2292), Congo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2293), Germany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2294), Georgia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2295), Ireland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2296), Lithuania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2297), Mali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2298), Netherlands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2299), New Zealand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2300), Norway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2301), Peru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2302), Poland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2303), Tajikistan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2304), United Kingdom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2306) and Yemen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2307); see also the draft legislation of Burundi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2290) and Trinidad and Tobago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2305).</w:t>
      </w:r>
    </w:p>
    <w:bookmarkStart w:id="27" w:name="Fn_61_5"/>
    <w:p w:rsidR="004325FD" w:rsidRPr="004325FD" w:rsidRDefault="004325FD" w:rsidP="004325FD">
      <w:pPr>
        <w:shd w:val="clear" w:color="auto" w:fill="ECECEC"/>
        <w:spacing w:after="0" w:line="264" w:lineRule="atLeast"/>
        <w:jc w:val="both"/>
        <w:rPr>
          <w:rFonts w:ascii="Arial" w:eastAsia="Times New Roman" w:hAnsi="Arial" w:cs="Arial"/>
          <w:color w:val="000000"/>
          <w:spacing w:val="3"/>
          <w:sz w:val="19"/>
          <w:szCs w:val="19"/>
        </w:rPr>
      </w:pPr>
      <w:r w:rsidRPr="004325FD">
        <w:rPr>
          <w:rFonts w:ascii="Arial" w:eastAsia="Times New Roman" w:hAnsi="Arial" w:cs="Arial"/>
          <w:color w:val="000000"/>
          <w:spacing w:val="3"/>
          <w:sz w:val="19"/>
          <w:szCs w:val="19"/>
        </w:rPr>
        <w:fldChar w:fldCharType="begin"/>
      </w:r>
      <w:r w:rsidRPr="004325FD">
        <w:rPr>
          <w:rFonts w:ascii="Arial" w:eastAsia="Times New Roman" w:hAnsi="Arial" w:cs="Arial"/>
          <w:color w:val="000000"/>
          <w:spacing w:val="3"/>
          <w:sz w:val="19"/>
          <w:szCs w:val="19"/>
        </w:rPr>
        <w:instrText xml:space="preserve"> HYPERLINK "https://www.icrc.org/customary-ihl/eng/docs/v1_rul_rule97" \l "refFn_61_5" </w:instrText>
      </w:r>
      <w:r w:rsidRPr="004325FD">
        <w:rPr>
          <w:rFonts w:ascii="Arial" w:eastAsia="Times New Roman" w:hAnsi="Arial" w:cs="Arial"/>
          <w:color w:val="000000"/>
          <w:spacing w:val="3"/>
          <w:sz w:val="19"/>
          <w:szCs w:val="19"/>
        </w:rPr>
        <w:fldChar w:fldCharType="separate"/>
      </w:r>
      <w:r w:rsidRPr="004325FD">
        <w:rPr>
          <w:rFonts w:ascii="Arial" w:eastAsia="Times New Roman" w:hAnsi="Arial" w:cs="Arial"/>
          <w:i/>
          <w:iCs/>
          <w:color w:val="4C7C8E"/>
          <w:spacing w:val="3"/>
          <w:sz w:val="15"/>
          <w:szCs w:val="15"/>
        </w:rPr>
        <w:t>[5]</w:t>
      </w:r>
      <w:r w:rsidRPr="004325FD">
        <w:rPr>
          <w:rFonts w:ascii="Arial" w:eastAsia="Times New Roman" w:hAnsi="Arial" w:cs="Arial"/>
          <w:color w:val="000000"/>
          <w:spacing w:val="3"/>
          <w:sz w:val="19"/>
          <w:szCs w:val="19"/>
        </w:rPr>
        <w:fldChar w:fldCharType="end"/>
      </w:r>
      <w:bookmarkEnd w:id="27"/>
      <w:r w:rsidRPr="004325FD">
        <w:rPr>
          <w:rFonts w:ascii="Arial" w:eastAsia="Times New Roman" w:hAnsi="Arial" w:cs="Arial"/>
          <w:color w:val="000000"/>
          <w:spacing w:val="3"/>
          <w:sz w:val="19"/>
          <w:szCs w:val="19"/>
        </w:rPr>
        <w:t xml:space="preserve"> See, e.g., the military manuals of France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2269), Kenya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2275), United Kingdom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2281) and United States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2282 and 2284) and the legislation of Azerbaijan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2286–2287), Bangladesh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2288), Belarus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2289), Democratic Republic of the Congo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2292), Georgia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2295), Lithuania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2297), Peru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2302), Poland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2303), Tajikistan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2304) and Yemen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2307); see also the draft legislation of Burundi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2290).</w:t>
      </w:r>
    </w:p>
    <w:bookmarkStart w:id="28" w:name="Fn_61_6"/>
    <w:p w:rsidR="004325FD" w:rsidRPr="004325FD" w:rsidRDefault="004325FD" w:rsidP="004325FD">
      <w:pPr>
        <w:shd w:val="clear" w:color="auto" w:fill="ECECEC"/>
        <w:spacing w:after="0" w:line="264" w:lineRule="atLeast"/>
        <w:jc w:val="both"/>
        <w:rPr>
          <w:rFonts w:ascii="Arial" w:eastAsia="Times New Roman" w:hAnsi="Arial" w:cs="Arial"/>
          <w:color w:val="000000"/>
          <w:spacing w:val="3"/>
          <w:sz w:val="19"/>
          <w:szCs w:val="19"/>
        </w:rPr>
      </w:pPr>
      <w:r w:rsidRPr="004325FD">
        <w:rPr>
          <w:rFonts w:ascii="Arial" w:eastAsia="Times New Roman" w:hAnsi="Arial" w:cs="Arial"/>
          <w:color w:val="000000"/>
          <w:spacing w:val="3"/>
          <w:sz w:val="19"/>
          <w:szCs w:val="19"/>
        </w:rPr>
        <w:fldChar w:fldCharType="begin"/>
      </w:r>
      <w:r w:rsidRPr="004325FD">
        <w:rPr>
          <w:rFonts w:ascii="Arial" w:eastAsia="Times New Roman" w:hAnsi="Arial" w:cs="Arial"/>
          <w:color w:val="000000"/>
          <w:spacing w:val="3"/>
          <w:sz w:val="19"/>
          <w:szCs w:val="19"/>
        </w:rPr>
        <w:instrText xml:space="preserve"> HYPERLINK "https://www.icrc.org/customary-ihl/eng/docs/v1_rul_rule97" \l "refFn_61_6" </w:instrText>
      </w:r>
      <w:r w:rsidRPr="004325FD">
        <w:rPr>
          <w:rFonts w:ascii="Arial" w:eastAsia="Times New Roman" w:hAnsi="Arial" w:cs="Arial"/>
          <w:color w:val="000000"/>
          <w:spacing w:val="3"/>
          <w:sz w:val="19"/>
          <w:szCs w:val="19"/>
        </w:rPr>
        <w:fldChar w:fldCharType="separate"/>
      </w:r>
      <w:r w:rsidRPr="004325FD">
        <w:rPr>
          <w:rFonts w:ascii="Arial" w:eastAsia="Times New Roman" w:hAnsi="Arial" w:cs="Arial"/>
          <w:i/>
          <w:iCs/>
          <w:color w:val="4C7C8E"/>
          <w:spacing w:val="3"/>
          <w:sz w:val="15"/>
          <w:szCs w:val="15"/>
        </w:rPr>
        <w:t>[6]</w:t>
      </w:r>
      <w:r w:rsidRPr="004325FD">
        <w:rPr>
          <w:rFonts w:ascii="Arial" w:eastAsia="Times New Roman" w:hAnsi="Arial" w:cs="Arial"/>
          <w:color w:val="000000"/>
          <w:spacing w:val="3"/>
          <w:sz w:val="19"/>
          <w:szCs w:val="19"/>
        </w:rPr>
        <w:fldChar w:fldCharType="end"/>
      </w:r>
      <w:bookmarkEnd w:id="28"/>
      <w:r w:rsidRPr="004325FD">
        <w:rPr>
          <w:rFonts w:ascii="Arial" w:eastAsia="Times New Roman" w:hAnsi="Arial" w:cs="Arial"/>
          <w:color w:val="000000"/>
          <w:spacing w:val="3"/>
          <w:sz w:val="19"/>
          <w:szCs w:val="19"/>
        </w:rPr>
        <w:t xml:space="preserve"> See, e.g., the statements of El Salvador (</w:t>
      </w:r>
      <w:proofErr w:type="gramStart"/>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w:t>
      </w:r>
      <w:proofErr w:type="gramEnd"/>
      <w:r w:rsidRPr="004325FD">
        <w:rPr>
          <w:rFonts w:ascii="Arial" w:eastAsia="Times New Roman" w:hAnsi="Arial" w:cs="Arial"/>
          <w:color w:val="000000"/>
          <w:spacing w:val="3"/>
          <w:sz w:val="19"/>
          <w:szCs w:val="19"/>
        </w:rPr>
        <w:t xml:space="preserve"> § 2312), Germany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2314), Italy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2317), Kuwait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2319), Senegal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2324), United Kingdom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2327–2328) and United States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2335–2343) and the reported practice of Spain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2325).</w:t>
      </w:r>
    </w:p>
    <w:bookmarkStart w:id="29" w:name="Fn_61_7"/>
    <w:p w:rsidR="004325FD" w:rsidRPr="004325FD" w:rsidRDefault="004325FD" w:rsidP="004325FD">
      <w:pPr>
        <w:shd w:val="clear" w:color="auto" w:fill="ECECEC"/>
        <w:spacing w:after="0" w:line="264" w:lineRule="atLeast"/>
        <w:jc w:val="both"/>
        <w:rPr>
          <w:rFonts w:ascii="Arial" w:eastAsia="Times New Roman" w:hAnsi="Arial" w:cs="Arial"/>
          <w:color w:val="000000"/>
          <w:spacing w:val="3"/>
          <w:sz w:val="19"/>
          <w:szCs w:val="19"/>
        </w:rPr>
      </w:pPr>
      <w:r w:rsidRPr="004325FD">
        <w:rPr>
          <w:rFonts w:ascii="Arial" w:eastAsia="Times New Roman" w:hAnsi="Arial" w:cs="Arial"/>
          <w:color w:val="000000"/>
          <w:spacing w:val="3"/>
          <w:sz w:val="19"/>
          <w:szCs w:val="19"/>
        </w:rPr>
        <w:fldChar w:fldCharType="begin"/>
      </w:r>
      <w:r w:rsidRPr="004325FD">
        <w:rPr>
          <w:rFonts w:ascii="Arial" w:eastAsia="Times New Roman" w:hAnsi="Arial" w:cs="Arial"/>
          <w:color w:val="000000"/>
          <w:spacing w:val="3"/>
          <w:sz w:val="19"/>
          <w:szCs w:val="19"/>
        </w:rPr>
        <w:instrText xml:space="preserve"> HYPERLINK "https://www.icrc.org/customary-ihl/eng/docs/v1_rul_rule97" \l "refFn_61_7" </w:instrText>
      </w:r>
      <w:r w:rsidRPr="004325FD">
        <w:rPr>
          <w:rFonts w:ascii="Arial" w:eastAsia="Times New Roman" w:hAnsi="Arial" w:cs="Arial"/>
          <w:color w:val="000000"/>
          <w:spacing w:val="3"/>
          <w:sz w:val="19"/>
          <w:szCs w:val="19"/>
        </w:rPr>
        <w:fldChar w:fldCharType="separate"/>
      </w:r>
      <w:r w:rsidRPr="004325FD">
        <w:rPr>
          <w:rFonts w:ascii="Arial" w:eastAsia="Times New Roman" w:hAnsi="Arial" w:cs="Arial"/>
          <w:i/>
          <w:iCs/>
          <w:color w:val="4C7C8E"/>
          <w:spacing w:val="3"/>
          <w:sz w:val="15"/>
          <w:szCs w:val="15"/>
        </w:rPr>
        <w:t>[7]</w:t>
      </w:r>
      <w:r w:rsidRPr="004325FD">
        <w:rPr>
          <w:rFonts w:ascii="Arial" w:eastAsia="Times New Roman" w:hAnsi="Arial" w:cs="Arial"/>
          <w:color w:val="000000"/>
          <w:spacing w:val="3"/>
          <w:sz w:val="19"/>
          <w:szCs w:val="19"/>
        </w:rPr>
        <w:fldChar w:fldCharType="end"/>
      </w:r>
      <w:bookmarkEnd w:id="29"/>
      <w:r w:rsidRPr="004325FD">
        <w:rPr>
          <w:rFonts w:ascii="Arial" w:eastAsia="Times New Roman" w:hAnsi="Arial" w:cs="Arial"/>
          <w:color w:val="000000"/>
          <w:spacing w:val="3"/>
          <w:sz w:val="19"/>
          <w:szCs w:val="19"/>
        </w:rPr>
        <w:t xml:space="preserve"> United Kingdom, Military Court at </w:t>
      </w:r>
      <w:proofErr w:type="spellStart"/>
      <w:r w:rsidRPr="004325FD">
        <w:rPr>
          <w:rFonts w:ascii="Arial" w:eastAsia="Times New Roman" w:hAnsi="Arial" w:cs="Arial"/>
          <w:color w:val="000000"/>
          <w:spacing w:val="3"/>
          <w:sz w:val="19"/>
          <w:szCs w:val="19"/>
        </w:rPr>
        <w:t>Lüneberg</w:t>
      </w:r>
      <w:proofErr w:type="spellEnd"/>
      <w:r w:rsidRPr="004325FD">
        <w:rPr>
          <w:rFonts w:ascii="Arial" w:eastAsia="Times New Roman" w:hAnsi="Arial" w:cs="Arial"/>
          <w:color w:val="000000"/>
          <w:spacing w:val="3"/>
          <w:sz w:val="19"/>
          <w:szCs w:val="19"/>
        </w:rPr>
        <w:t>, </w:t>
      </w:r>
      <w:r w:rsidRPr="004325FD">
        <w:rPr>
          <w:rFonts w:ascii="Arial" w:eastAsia="Times New Roman" w:hAnsi="Arial" w:cs="Arial"/>
          <w:i/>
          <w:iCs/>
          <w:color w:val="000000"/>
          <w:spacing w:val="3"/>
          <w:sz w:val="19"/>
          <w:szCs w:val="19"/>
        </w:rPr>
        <w:t>Student case</w:t>
      </w:r>
      <w:r w:rsidRPr="004325FD">
        <w:rPr>
          <w:rFonts w:ascii="Arial" w:eastAsia="Times New Roman" w:hAnsi="Arial" w:cs="Arial"/>
          <w:color w:val="000000"/>
          <w:spacing w:val="3"/>
          <w:sz w:val="19"/>
          <w:szCs w:val="19"/>
        </w:rPr>
        <w:t> (</w:t>
      </w:r>
      <w:proofErr w:type="gramStart"/>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w:t>
      </w:r>
      <w:proofErr w:type="gramEnd"/>
      <w:r w:rsidRPr="004325FD">
        <w:rPr>
          <w:rFonts w:ascii="Arial" w:eastAsia="Times New Roman" w:hAnsi="Arial" w:cs="Arial"/>
          <w:color w:val="000000"/>
          <w:spacing w:val="3"/>
          <w:sz w:val="19"/>
          <w:szCs w:val="19"/>
        </w:rPr>
        <w:t xml:space="preserve"> § 2308); United States, Military Tribunal at Nuremberg, </w:t>
      </w:r>
      <w:r w:rsidRPr="004325FD">
        <w:rPr>
          <w:rFonts w:ascii="Arial" w:eastAsia="Times New Roman" w:hAnsi="Arial" w:cs="Arial"/>
          <w:i/>
          <w:iCs/>
          <w:color w:val="000000"/>
          <w:spacing w:val="3"/>
          <w:sz w:val="19"/>
          <w:szCs w:val="19"/>
        </w:rPr>
        <w:t xml:space="preserve">Von </w:t>
      </w:r>
      <w:proofErr w:type="spellStart"/>
      <w:r w:rsidRPr="004325FD">
        <w:rPr>
          <w:rFonts w:ascii="Arial" w:eastAsia="Times New Roman" w:hAnsi="Arial" w:cs="Arial"/>
          <w:i/>
          <w:iCs/>
          <w:color w:val="000000"/>
          <w:spacing w:val="3"/>
          <w:sz w:val="19"/>
          <w:szCs w:val="19"/>
        </w:rPr>
        <w:t>Leeb</w:t>
      </w:r>
      <w:proofErr w:type="spellEnd"/>
      <w:r w:rsidRPr="004325FD">
        <w:rPr>
          <w:rFonts w:ascii="Arial" w:eastAsia="Times New Roman" w:hAnsi="Arial" w:cs="Arial"/>
          <w:i/>
          <w:iCs/>
          <w:color w:val="000000"/>
          <w:spacing w:val="3"/>
          <w:sz w:val="19"/>
          <w:szCs w:val="19"/>
        </w:rPr>
        <w:t xml:space="preserve"> (The High Command Trial) case</w:t>
      </w:r>
      <w:r w:rsidRPr="004325FD">
        <w:rPr>
          <w:rFonts w:ascii="Arial" w:eastAsia="Times New Roman" w:hAnsi="Arial" w:cs="Arial"/>
          <w:color w:val="000000"/>
          <w:spacing w:val="3"/>
          <w:sz w:val="19"/>
          <w:szCs w:val="19"/>
        </w:rPr>
        <w:t>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2309).</w:t>
      </w:r>
    </w:p>
    <w:bookmarkStart w:id="30" w:name="Fn_61_8"/>
    <w:p w:rsidR="004325FD" w:rsidRPr="004325FD" w:rsidRDefault="004325FD" w:rsidP="004325FD">
      <w:pPr>
        <w:shd w:val="clear" w:color="auto" w:fill="ECECEC"/>
        <w:spacing w:after="0" w:line="264" w:lineRule="atLeast"/>
        <w:jc w:val="both"/>
        <w:rPr>
          <w:rFonts w:ascii="Arial" w:eastAsia="Times New Roman" w:hAnsi="Arial" w:cs="Arial"/>
          <w:color w:val="000000"/>
          <w:spacing w:val="3"/>
          <w:sz w:val="19"/>
          <w:szCs w:val="19"/>
        </w:rPr>
      </w:pPr>
      <w:r w:rsidRPr="004325FD">
        <w:rPr>
          <w:rFonts w:ascii="Arial" w:eastAsia="Times New Roman" w:hAnsi="Arial" w:cs="Arial"/>
          <w:color w:val="000000"/>
          <w:spacing w:val="3"/>
          <w:sz w:val="19"/>
          <w:szCs w:val="19"/>
        </w:rPr>
        <w:fldChar w:fldCharType="begin"/>
      </w:r>
      <w:r w:rsidRPr="004325FD">
        <w:rPr>
          <w:rFonts w:ascii="Arial" w:eastAsia="Times New Roman" w:hAnsi="Arial" w:cs="Arial"/>
          <w:color w:val="000000"/>
          <w:spacing w:val="3"/>
          <w:sz w:val="19"/>
          <w:szCs w:val="19"/>
        </w:rPr>
        <w:instrText xml:space="preserve"> HYPERLINK "https://www.icrc.org/customary-ihl/eng/docs/v1_rul_rule97" \l "refFn_61_8" </w:instrText>
      </w:r>
      <w:r w:rsidRPr="004325FD">
        <w:rPr>
          <w:rFonts w:ascii="Arial" w:eastAsia="Times New Roman" w:hAnsi="Arial" w:cs="Arial"/>
          <w:color w:val="000000"/>
          <w:spacing w:val="3"/>
          <w:sz w:val="19"/>
          <w:szCs w:val="19"/>
        </w:rPr>
        <w:fldChar w:fldCharType="separate"/>
      </w:r>
      <w:r w:rsidRPr="004325FD">
        <w:rPr>
          <w:rFonts w:ascii="Arial" w:eastAsia="Times New Roman" w:hAnsi="Arial" w:cs="Arial"/>
          <w:i/>
          <w:iCs/>
          <w:color w:val="4C7C8E"/>
          <w:spacing w:val="3"/>
          <w:sz w:val="15"/>
          <w:szCs w:val="15"/>
        </w:rPr>
        <w:t>[8]</w:t>
      </w:r>
      <w:r w:rsidRPr="004325FD">
        <w:rPr>
          <w:rFonts w:ascii="Arial" w:eastAsia="Times New Roman" w:hAnsi="Arial" w:cs="Arial"/>
          <w:color w:val="000000"/>
          <w:spacing w:val="3"/>
          <w:sz w:val="19"/>
          <w:szCs w:val="19"/>
        </w:rPr>
        <w:fldChar w:fldCharType="end"/>
      </w:r>
      <w:bookmarkEnd w:id="30"/>
      <w:r w:rsidRPr="004325FD">
        <w:rPr>
          <w:rFonts w:ascii="Arial" w:eastAsia="Times New Roman" w:hAnsi="Arial" w:cs="Arial"/>
          <w:color w:val="000000"/>
          <w:spacing w:val="3"/>
          <w:sz w:val="19"/>
          <w:szCs w:val="19"/>
        </w:rPr>
        <w:t xml:space="preserve"> ICTY, </w:t>
      </w:r>
      <w:proofErr w:type="spellStart"/>
      <w:r w:rsidRPr="004325FD">
        <w:rPr>
          <w:rFonts w:ascii="Arial" w:eastAsia="Times New Roman" w:hAnsi="Arial" w:cs="Arial"/>
          <w:i/>
          <w:iCs/>
          <w:color w:val="000000"/>
          <w:spacing w:val="3"/>
          <w:sz w:val="19"/>
          <w:szCs w:val="19"/>
        </w:rPr>
        <w:t>Karadžić</w:t>
      </w:r>
      <w:proofErr w:type="spellEnd"/>
      <w:r w:rsidRPr="004325FD">
        <w:rPr>
          <w:rFonts w:ascii="Arial" w:eastAsia="Times New Roman" w:hAnsi="Arial" w:cs="Arial"/>
          <w:i/>
          <w:iCs/>
          <w:color w:val="000000"/>
          <w:spacing w:val="3"/>
          <w:sz w:val="19"/>
          <w:szCs w:val="19"/>
        </w:rPr>
        <w:t xml:space="preserve"> and </w:t>
      </w:r>
      <w:proofErr w:type="spellStart"/>
      <w:r w:rsidRPr="004325FD">
        <w:rPr>
          <w:rFonts w:ascii="Arial" w:eastAsia="Times New Roman" w:hAnsi="Arial" w:cs="Arial"/>
          <w:i/>
          <w:iCs/>
          <w:color w:val="000000"/>
          <w:spacing w:val="3"/>
          <w:sz w:val="19"/>
          <w:szCs w:val="19"/>
        </w:rPr>
        <w:t>Mladić</w:t>
      </w:r>
      <w:proofErr w:type="spellEnd"/>
      <w:r w:rsidRPr="004325FD">
        <w:rPr>
          <w:rFonts w:ascii="Arial" w:eastAsia="Times New Roman" w:hAnsi="Arial" w:cs="Arial"/>
          <w:i/>
          <w:iCs/>
          <w:color w:val="000000"/>
          <w:spacing w:val="3"/>
          <w:sz w:val="19"/>
          <w:szCs w:val="19"/>
        </w:rPr>
        <w:t xml:space="preserve"> case</w:t>
      </w:r>
      <w:r w:rsidRPr="004325FD">
        <w:rPr>
          <w:rFonts w:ascii="Arial" w:eastAsia="Times New Roman" w:hAnsi="Arial" w:cs="Arial"/>
          <w:color w:val="000000"/>
          <w:spacing w:val="3"/>
          <w:sz w:val="19"/>
          <w:szCs w:val="19"/>
        </w:rPr>
        <w:t>, First Indictment and Review of the Indictments (</w:t>
      </w:r>
      <w:proofErr w:type="gramStart"/>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w:t>
      </w:r>
      <w:proofErr w:type="gramEnd"/>
      <w:r w:rsidRPr="004325FD">
        <w:rPr>
          <w:rFonts w:ascii="Arial" w:eastAsia="Times New Roman" w:hAnsi="Arial" w:cs="Arial"/>
          <w:color w:val="000000"/>
          <w:spacing w:val="3"/>
          <w:sz w:val="19"/>
          <w:szCs w:val="19"/>
        </w:rPr>
        <w:t xml:space="preserve"> § 2364).</w:t>
      </w:r>
    </w:p>
    <w:bookmarkStart w:id="31" w:name="Fn_61_9"/>
    <w:p w:rsidR="004325FD" w:rsidRPr="004325FD" w:rsidRDefault="004325FD" w:rsidP="004325FD">
      <w:pPr>
        <w:shd w:val="clear" w:color="auto" w:fill="ECECEC"/>
        <w:spacing w:after="0" w:line="264" w:lineRule="atLeast"/>
        <w:jc w:val="both"/>
        <w:rPr>
          <w:rFonts w:ascii="Arial" w:eastAsia="Times New Roman" w:hAnsi="Arial" w:cs="Arial"/>
          <w:color w:val="000000"/>
          <w:spacing w:val="3"/>
          <w:sz w:val="19"/>
          <w:szCs w:val="19"/>
        </w:rPr>
      </w:pPr>
      <w:r w:rsidRPr="004325FD">
        <w:rPr>
          <w:rFonts w:ascii="Arial" w:eastAsia="Times New Roman" w:hAnsi="Arial" w:cs="Arial"/>
          <w:color w:val="000000"/>
          <w:spacing w:val="3"/>
          <w:sz w:val="19"/>
          <w:szCs w:val="19"/>
        </w:rPr>
        <w:fldChar w:fldCharType="begin"/>
      </w:r>
      <w:r w:rsidRPr="004325FD">
        <w:rPr>
          <w:rFonts w:ascii="Arial" w:eastAsia="Times New Roman" w:hAnsi="Arial" w:cs="Arial"/>
          <w:color w:val="000000"/>
          <w:spacing w:val="3"/>
          <w:sz w:val="19"/>
          <w:szCs w:val="19"/>
        </w:rPr>
        <w:instrText xml:space="preserve"> HYPERLINK "https://www.icrc.org/customary-ihl/eng/docs/v1_rul_rule97" \l "refFn_61_9" </w:instrText>
      </w:r>
      <w:r w:rsidRPr="004325FD">
        <w:rPr>
          <w:rFonts w:ascii="Arial" w:eastAsia="Times New Roman" w:hAnsi="Arial" w:cs="Arial"/>
          <w:color w:val="000000"/>
          <w:spacing w:val="3"/>
          <w:sz w:val="19"/>
          <w:szCs w:val="19"/>
        </w:rPr>
        <w:fldChar w:fldCharType="separate"/>
      </w:r>
      <w:r w:rsidRPr="004325FD">
        <w:rPr>
          <w:rFonts w:ascii="Arial" w:eastAsia="Times New Roman" w:hAnsi="Arial" w:cs="Arial"/>
          <w:i/>
          <w:iCs/>
          <w:color w:val="4C7C8E"/>
          <w:spacing w:val="3"/>
          <w:sz w:val="15"/>
          <w:szCs w:val="15"/>
        </w:rPr>
        <w:t>[9]</w:t>
      </w:r>
      <w:r w:rsidRPr="004325FD">
        <w:rPr>
          <w:rFonts w:ascii="Arial" w:eastAsia="Times New Roman" w:hAnsi="Arial" w:cs="Arial"/>
          <w:color w:val="000000"/>
          <w:spacing w:val="3"/>
          <w:sz w:val="19"/>
          <w:szCs w:val="19"/>
        </w:rPr>
        <w:fldChar w:fldCharType="end"/>
      </w:r>
      <w:bookmarkEnd w:id="31"/>
      <w:r w:rsidRPr="004325FD">
        <w:rPr>
          <w:rFonts w:ascii="Arial" w:eastAsia="Times New Roman" w:hAnsi="Arial" w:cs="Arial"/>
          <w:color w:val="000000"/>
          <w:spacing w:val="3"/>
          <w:sz w:val="19"/>
          <w:szCs w:val="19"/>
        </w:rPr>
        <w:t xml:space="preserve"> Additional Protocol II, Article 13(1) (adopted by consensus) (cited in Vol. II, Ch. 5, § 2).</w:t>
      </w:r>
    </w:p>
    <w:bookmarkStart w:id="32" w:name="Fn_61_10"/>
    <w:p w:rsidR="004325FD" w:rsidRPr="004325FD" w:rsidRDefault="004325FD" w:rsidP="004325FD">
      <w:pPr>
        <w:shd w:val="clear" w:color="auto" w:fill="ECECEC"/>
        <w:spacing w:after="0" w:line="264" w:lineRule="atLeast"/>
        <w:jc w:val="both"/>
        <w:rPr>
          <w:rFonts w:ascii="Arial" w:eastAsia="Times New Roman" w:hAnsi="Arial" w:cs="Arial"/>
          <w:color w:val="000000"/>
          <w:spacing w:val="3"/>
          <w:sz w:val="19"/>
          <w:szCs w:val="19"/>
        </w:rPr>
      </w:pPr>
      <w:r w:rsidRPr="004325FD">
        <w:rPr>
          <w:rFonts w:ascii="Arial" w:eastAsia="Times New Roman" w:hAnsi="Arial" w:cs="Arial"/>
          <w:color w:val="000000"/>
          <w:spacing w:val="3"/>
          <w:sz w:val="19"/>
          <w:szCs w:val="19"/>
        </w:rPr>
        <w:fldChar w:fldCharType="begin"/>
      </w:r>
      <w:r w:rsidRPr="004325FD">
        <w:rPr>
          <w:rFonts w:ascii="Arial" w:eastAsia="Times New Roman" w:hAnsi="Arial" w:cs="Arial"/>
          <w:color w:val="000000"/>
          <w:spacing w:val="3"/>
          <w:sz w:val="19"/>
          <w:szCs w:val="19"/>
        </w:rPr>
        <w:instrText xml:space="preserve"> HYPERLINK "https://www.icrc.org/customary-ihl/eng/docs/v1_rul_rule97" \l "refFn_61_10" </w:instrText>
      </w:r>
      <w:r w:rsidRPr="004325FD">
        <w:rPr>
          <w:rFonts w:ascii="Arial" w:eastAsia="Times New Roman" w:hAnsi="Arial" w:cs="Arial"/>
          <w:color w:val="000000"/>
          <w:spacing w:val="3"/>
          <w:sz w:val="19"/>
          <w:szCs w:val="19"/>
        </w:rPr>
        <w:fldChar w:fldCharType="separate"/>
      </w:r>
      <w:r w:rsidRPr="004325FD">
        <w:rPr>
          <w:rFonts w:ascii="Arial" w:eastAsia="Times New Roman" w:hAnsi="Arial" w:cs="Arial"/>
          <w:i/>
          <w:iCs/>
          <w:color w:val="4C7C8E"/>
          <w:spacing w:val="3"/>
          <w:sz w:val="15"/>
          <w:szCs w:val="15"/>
        </w:rPr>
        <w:t>[10]</w:t>
      </w:r>
      <w:r w:rsidRPr="004325FD">
        <w:rPr>
          <w:rFonts w:ascii="Arial" w:eastAsia="Times New Roman" w:hAnsi="Arial" w:cs="Arial"/>
          <w:color w:val="000000"/>
          <w:spacing w:val="3"/>
          <w:sz w:val="19"/>
          <w:szCs w:val="19"/>
        </w:rPr>
        <w:fldChar w:fldCharType="end"/>
      </w:r>
      <w:bookmarkEnd w:id="32"/>
      <w:r w:rsidRPr="004325FD">
        <w:rPr>
          <w:rFonts w:ascii="Arial" w:eastAsia="Times New Roman" w:hAnsi="Arial" w:cs="Arial"/>
          <w:color w:val="000000"/>
          <w:spacing w:val="3"/>
          <w:sz w:val="19"/>
          <w:szCs w:val="19"/>
        </w:rPr>
        <w:t xml:space="preserve"> See, e.g., the practice of El Salvador (cited in Vol. II, Ch. 32, § 2312) and the European Community (</w:t>
      </w:r>
      <w:proofErr w:type="gramStart"/>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w:t>
      </w:r>
      <w:proofErr w:type="gramEnd"/>
      <w:r w:rsidRPr="004325FD">
        <w:rPr>
          <w:rFonts w:ascii="Arial" w:eastAsia="Times New Roman" w:hAnsi="Arial" w:cs="Arial"/>
          <w:color w:val="000000"/>
          <w:spacing w:val="3"/>
          <w:sz w:val="19"/>
          <w:szCs w:val="19"/>
        </w:rPr>
        <w:t xml:space="preserve"> § 2359). </w:t>
      </w:r>
    </w:p>
    <w:bookmarkStart w:id="33" w:name="Fn_61_11"/>
    <w:p w:rsidR="004325FD" w:rsidRPr="004325FD" w:rsidRDefault="004325FD" w:rsidP="004325FD">
      <w:pPr>
        <w:shd w:val="clear" w:color="auto" w:fill="ECECEC"/>
        <w:spacing w:after="0" w:line="264" w:lineRule="atLeast"/>
        <w:jc w:val="both"/>
        <w:rPr>
          <w:rFonts w:ascii="Arial" w:eastAsia="Times New Roman" w:hAnsi="Arial" w:cs="Arial"/>
          <w:color w:val="000000"/>
          <w:spacing w:val="3"/>
          <w:sz w:val="19"/>
          <w:szCs w:val="19"/>
        </w:rPr>
      </w:pPr>
      <w:r w:rsidRPr="004325FD">
        <w:rPr>
          <w:rFonts w:ascii="Arial" w:eastAsia="Times New Roman" w:hAnsi="Arial" w:cs="Arial"/>
          <w:color w:val="000000"/>
          <w:spacing w:val="3"/>
          <w:sz w:val="19"/>
          <w:szCs w:val="19"/>
        </w:rPr>
        <w:fldChar w:fldCharType="begin"/>
      </w:r>
      <w:r w:rsidRPr="004325FD">
        <w:rPr>
          <w:rFonts w:ascii="Arial" w:eastAsia="Times New Roman" w:hAnsi="Arial" w:cs="Arial"/>
          <w:color w:val="000000"/>
          <w:spacing w:val="3"/>
          <w:sz w:val="19"/>
          <w:szCs w:val="19"/>
        </w:rPr>
        <w:instrText xml:space="preserve"> HYPERLINK "https://www.icrc.org/customary-ihl/eng/docs/v1_rul_rule97" \l "refFn_61_11" </w:instrText>
      </w:r>
      <w:r w:rsidRPr="004325FD">
        <w:rPr>
          <w:rFonts w:ascii="Arial" w:eastAsia="Times New Roman" w:hAnsi="Arial" w:cs="Arial"/>
          <w:color w:val="000000"/>
          <w:spacing w:val="3"/>
          <w:sz w:val="19"/>
          <w:szCs w:val="19"/>
        </w:rPr>
        <w:fldChar w:fldCharType="separate"/>
      </w:r>
      <w:r w:rsidRPr="004325FD">
        <w:rPr>
          <w:rFonts w:ascii="Arial" w:eastAsia="Times New Roman" w:hAnsi="Arial" w:cs="Arial"/>
          <w:i/>
          <w:iCs/>
          <w:color w:val="4C7C8E"/>
          <w:spacing w:val="3"/>
          <w:sz w:val="15"/>
          <w:szCs w:val="15"/>
        </w:rPr>
        <w:t>[11]</w:t>
      </w:r>
      <w:r w:rsidRPr="004325FD">
        <w:rPr>
          <w:rFonts w:ascii="Arial" w:eastAsia="Times New Roman" w:hAnsi="Arial" w:cs="Arial"/>
          <w:color w:val="000000"/>
          <w:spacing w:val="3"/>
          <w:sz w:val="19"/>
          <w:szCs w:val="19"/>
        </w:rPr>
        <w:fldChar w:fldCharType="end"/>
      </w:r>
      <w:bookmarkEnd w:id="33"/>
      <w:r w:rsidRPr="004325FD">
        <w:rPr>
          <w:rFonts w:ascii="Arial" w:eastAsia="Times New Roman" w:hAnsi="Arial" w:cs="Arial"/>
          <w:color w:val="000000"/>
          <w:spacing w:val="3"/>
          <w:sz w:val="19"/>
          <w:szCs w:val="19"/>
        </w:rPr>
        <w:t xml:space="preserve"> Additional Protocol II, Article 4(2</w:t>
      </w:r>
      <w:proofErr w:type="gramStart"/>
      <w:r w:rsidRPr="004325FD">
        <w:rPr>
          <w:rFonts w:ascii="Arial" w:eastAsia="Times New Roman" w:hAnsi="Arial" w:cs="Arial"/>
          <w:color w:val="000000"/>
          <w:spacing w:val="3"/>
          <w:sz w:val="19"/>
          <w:szCs w:val="19"/>
        </w:rPr>
        <w:t>)(</w:t>
      </w:r>
      <w:proofErr w:type="gramEnd"/>
      <w:r w:rsidRPr="004325FD">
        <w:rPr>
          <w:rFonts w:ascii="Arial" w:eastAsia="Times New Roman" w:hAnsi="Arial" w:cs="Arial"/>
          <w:color w:val="000000"/>
          <w:spacing w:val="3"/>
          <w:sz w:val="19"/>
          <w:szCs w:val="19"/>
        </w:rPr>
        <w:t>c) (adopted by consensus)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2051).</w:t>
      </w:r>
    </w:p>
    <w:bookmarkStart w:id="34" w:name="Fn_61_12"/>
    <w:p w:rsidR="004325FD" w:rsidRPr="004325FD" w:rsidRDefault="004325FD" w:rsidP="004325FD">
      <w:pPr>
        <w:shd w:val="clear" w:color="auto" w:fill="ECECEC"/>
        <w:spacing w:after="0" w:line="264" w:lineRule="atLeast"/>
        <w:jc w:val="both"/>
        <w:rPr>
          <w:rFonts w:ascii="Arial" w:eastAsia="Times New Roman" w:hAnsi="Arial" w:cs="Arial"/>
          <w:color w:val="000000"/>
          <w:spacing w:val="3"/>
          <w:sz w:val="19"/>
          <w:szCs w:val="19"/>
        </w:rPr>
      </w:pPr>
      <w:r w:rsidRPr="004325FD">
        <w:rPr>
          <w:rFonts w:ascii="Arial" w:eastAsia="Times New Roman" w:hAnsi="Arial" w:cs="Arial"/>
          <w:color w:val="000000"/>
          <w:spacing w:val="3"/>
          <w:sz w:val="19"/>
          <w:szCs w:val="19"/>
        </w:rPr>
        <w:lastRenderedPageBreak/>
        <w:fldChar w:fldCharType="begin"/>
      </w:r>
      <w:r w:rsidRPr="004325FD">
        <w:rPr>
          <w:rFonts w:ascii="Arial" w:eastAsia="Times New Roman" w:hAnsi="Arial" w:cs="Arial"/>
          <w:color w:val="000000"/>
          <w:spacing w:val="3"/>
          <w:sz w:val="19"/>
          <w:szCs w:val="19"/>
        </w:rPr>
        <w:instrText xml:space="preserve"> HYPERLINK "https://www.icrc.org/customary-ihl/eng/docs/v1_rul_rule97" \l "refFn_61_12" </w:instrText>
      </w:r>
      <w:r w:rsidRPr="004325FD">
        <w:rPr>
          <w:rFonts w:ascii="Arial" w:eastAsia="Times New Roman" w:hAnsi="Arial" w:cs="Arial"/>
          <w:color w:val="000000"/>
          <w:spacing w:val="3"/>
          <w:sz w:val="19"/>
          <w:szCs w:val="19"/>
        </w:rPr>
        <w:fldChar w:fldCharType="separate"/>
      </w:r>
      <w:r w:rsidRPr="004325FD">
        <w:rPr>
          <w:rFonts w:ascii="Arial" w:eastAsia="Times New Roman" w:hAnsi="Arial" w:cs="Arial"/>
          <w:i/>
          <w:iCs/>
          <w:color w:val="4C7C8E"/>
          <w:spacing w:val="3"/>
          <w:sz w:val="15"/>
          <w:szCs w:val="15"/>
        </w:rPr>
        <w:t>[12]</w:t>
      </w:r>
      <w:r w:rsidRPr="004325FD">
        <w:rPr>
          <w:rFonts w:ascii="Arial" w:eastAsia="Times New Roman" w:hAnsi="Arial" w:cs="Arial"/>
          <w:color w:val="000000"/>
          <w:spacing w:val="3"/>
          <w:sz w:val="19"/>
          <w:szCs w:val="19"/>
        </w:rPr>
        <w:fldChar w:fldCharType="end"/>
      </w:r>
      <w:bookmarkEnd w:id="34"/>
      <w:r w:rsidRPr="004325FD">
        <w:rPr>
          <w:rFonts w:ascii="Arial" w:eastAsia="Times New Roman" w:hAnsi="Arial" w:cs="Arial"/>
          <w:color w:val="000000"/>
          <w:spacing w:val="3"/>
          <w:sz w:val="19"/>
          <w:szCs w:val="19"/>
        </w:rPr>
        <w:t xml:space="preserve"> See, e.g., the military manuals of Australia (</w:t>
      </w:r>
      <w:proofErr w:type="gramStart"/>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w:t>
      </w:r>
      <w:proofErr w:type="gramEnd"/>
      <w:r w:rsidRPr="004325FD">
        <w:rPr>
          <w:rFonts w:ascii="Arial" w:eastAsia="Times New Roman" w:hAnsi="Arial" w:cs="Arial"/>
          <w:color w:val="000000"/>
          <w:spacing w:val="3"/>
          <w:sz w:val="19"/>
          <w:szCs w:val="19"/>
        </w:rPr>
        <w:t xml:space="preserve"> § 2260), Canada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2264), Colombia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2265), Croatia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2266), Ecuador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2268), Germany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2272), Italy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2274) and Kenya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2275).</w:t>
      </w:r>
    </w:p>
    <w:bookmarkStart w:id="35" w:name="Fn_61_13"/>
    <w:p w:rsidR="004325FD" w:rsidRPr="004325FD" w:rsidRDefault="004325FD" w:rsidP="004325FD">
      <w:pPr>
        <w:shd w:val="clear" w:color="auto" w:fill="ECECEC"/>
        <w:spacing w:after="0" w:line="264" w:lineRule="atLeast"/>
        <w:jc w:val="both"/>
        <w:rPr>
          <w:rFonts w:ascii="Arial" w:eastAsia="Times New Roman" w:hAnsi="Arial" w:cs="Arial"/>
          <w:color w:val="000000"/>
          <w:spacing w:val="3"/>
          <w:sz w:val="19"/>
          <w:szCs w:val="19"/>
        </w:rPr>
      </w:pPr>
      <w:r w:rsidRPr="004325FD">
        <w:rPr>
          <w:rFonts w:ascii="Arial" w:eastAsia="Times New Roman" w:hAnsi="Arial" w:cs="Arial"/>
          <w:color w:val="000000"/>
          <w:spacing w:val="3"/>
          <w:sz w:val="19"/>
          <w:szCs w:val="19"/>
        </w:rPr>
        <w:fldChar w:fldCharType="begin"/>
      </w:r>
      <w:r w:rsidRPr="004325FD">
        <w:rPr>
          <w:rFonts w:ascii="Arial" w:eastAsia="Times New Roman" w:hAnsi="Arial" w:cs="Arial"/>
          <w:color w:val="000000"/>
          <w:spacing w:val="3"/>
          <w:sz w:val="19"/>
          <w:szCs w:val="19"/>
        </w:rPr>
        <w:instrText xml:space="preserve"> HYPERLINK "https://www.icrc.org/customary-ihl/eng/docs/v1_rul_rule97" \l "refFn_61_13" </w:instrText>
      </w:r>
      <w:r w:rsidRPr="004325FD">
        <w:rPr>
          <w:rFonts w:ascii="Arial" w:eastAsia="Times New Roman" w:hAnsi="Arial" w:cs="Arial"/>
          <w:color w:val="000000"/>
          <w:spacing w:val="3"/>
          <w:sz w:val="19"/>
          <w:szCs w:val="19"/>
        </w:rPr>
        <w:fldChar w:fldCharType="separate"/>
      </w:r>
      <w:r w:rsidRPr="004325FD">
        <w:rPr>
          <w:rFonts w:ascii="Arial" w:eastAsia="Times New Roman" w:hAnsi="Arial" w:cs="Arial"/>
          <w:i/>
          <w:iCs/>
          <w:color w:val="4C7C8E"/>
          <w:spacing w:val="3"/>
          <w:sz w:val="15"/>
          <w:szCs w:val="15"/>
        </w:rPr>
        <w:t>[13]</w:t>
      </w:r>
      <w:r w:rsidRPr="004325FD">
        <w:rPr>
          <w:rFonts w:ascii="Arial" w:eastAsia="Times New Roman" w:hAnsi="Arial" w:cs="Arial"/>
          <w:color w:val="000000"/>
          <w:spacing w:val="3"/>
          <w:sz w:val="19"/>
          <w:szCs w:val="19"/>
        </w:rPr>
        <w:fldChar w:fldCharType="end"/>
      </w:r>
      <w:bookmarkEnd w:id="35"/>
      <w:r w:rsidRPr="004325FD">
        <w:rPr>
          <w:rFonts w:ascii="Arial" w:eastAsia="Times New Roman" w:hAnsi="Arial" w:cs="Arial"/>
          <w:color w:val="000000"/>
          <w:spacing w:val="3"/>
          <w:sz w:val="19"/>
          <w:szCs w:val="19"/>
        </w:rPr>
        <w:t xml:space="preserve"> See, e.g., the legislation of Azerbaijan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2286–2287), Belarus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2289), Democratic Republic of the Congo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2292), Germany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2294), Georgia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2295), Lithuania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2297), Poland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2303) and Tajikistan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2304); see also the legislation of Peru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2302) and Yemen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2307), the application of which is not excluded in time of non-international armed conflict, and the draft legislation of Burundi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2290).</w:t>
      </w:r>
    </w:p>
    <w:bookmarkStart w:id="36" w:name="Fn_61_14"/>
    <w:p w:rsidR="004325FD" w:rsidRPr="004325FD" w:rsidRDefault="004325FD" w:rsidP="004325FD">
      <w:pPr>
        <w:shd w:val="clear" w:color="auto" w:fill="ECECEC"/>
        <w:spacing w:after="0" w:line="264" w:lineRule="atLeast"/>
        <w:jc w:val="both"/>
        <w:rPr>
          <w:rFonts w:ascii="Arial" w:eastAsia="Times New Roman" w:hAnsi="Arial" w:cs="Arial"/>
          <w:color w:val="000000"/>
          <w:spacing w:val="3"/>
          <w:sz w:val="19"/>
          <w:szCs w:val="19"/>
        </w:rPr>
      </w:pPr>
      <w:r w:rsidRPr="004325FD">
        <w:rPr>
          <w:rFonts w:ascii="Arial" w:eastAsia="Times New Roman" w:hAnsi="Arial" w:cs="Arial"/>
          <w:color w:val="000000"/>
          <w:spacing w:val="3"/>
          <w:sz w:val="19"/>
          <w:szCs w:val="19"/>
        </w:rPr>
        <w:fldChar w:fldCharType="begin"/>
      </w:r>
      <w:r w:rsidRPr="004325FD">
        <w:rPr>
          <w:rFonts w:ascii="Arial" w:eastAsia="Times New Roman" w:hAnsi="Arial" w:cs="Arial"/>
          <w:color w:val="000000"/>
          <w:spacing w:val="3"/>
          <w:sz w:val="19"/>
          <w:szCs w:val="19"/>
        </w:rPr>
        <w:instrText xml:space="preserve"> HYPERLINK "https://www.icrc.org/customary-ihl/eng/docs/v1_rul_rule97" \l "refFn_61_14" </w:instrText>
      </w:r>
      <w:r w:rsidRPr="004325FD">
        <w:rPr>
          <w:rFonts w:ascii="Arial" w:eastAsia="Times New Roman" w:hAnsi="Arial" w:cs="Arial"/>
          <w:color w:val="000000"/>
          <w:spacing w:val="3"/>
          <w:sz w:val="19"/>
          <w:szCs w:val="19"/>
        </w:rPr>
        <w:fldChar w:fldCharType="separate"/>
      </w:r>
      <w:r w:rsidRPr="004325FD">
        <w:rPr>
          <w:rFonts w:ascii="Arial" w:eastAsia="Times New Roman" w:hAnsi="Arial" w:cs="Arial"/>
          <w:i/>
          <w:iCs/>
          <w:color w:val="4C7C8E"/>
          <w:spacing w:val="3"/>
          <w:sz w:val="15"/>
          <w:szCs w:val="15"/>
        </w:rPr>
        <w:t>[14]</w:t>
      </w:r>
      <w:r w:rsidRPr="004325FD">
        <w:rPr>
          <w:rFonts w:ascii="Arial" w:eastAsia="Times New Roman" w:hAnsi="Arial" w:cs="Arial"/>
          <w:color w:val="000000"/>
          <w:spacing w:val="3"/>
          <w:sz w:val="19"/>
          <w:szCs w:val="19"/>
        </w:rPr>
        <w:fldChar w:fldCharType="end"/>
      </w:r>
      <w:bookmarkEnd w:id="36"/>
      <w:r w:rsidRPr="004325FD">
        <w:rPr>
          <w:rFonts w:ascii="Arial" w:eastAsia="Times New Roman" w:hAnsi="Arial" w:cs="Arial"/>
          <w:color w:val="000000"/>
          <w:spacing w:val="3"/>
          <w:sz w:val="19"/>
          <w:szCs w:val="19"/>
        </w:rPr>
        <w:t xml:space="preserve"> See, e.g., the statements of Chile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2310), Tajikistan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2326) and Yugoslavia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2346); the reported practice of Rwanda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2323); UN Commission on Human Rights, Res. 1995/89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2348); UN Secretary-General, Progress report on UNOMIL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2349), Progress report on UNOMSIL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2350) and Report pursuant to paragraph 5 of Security Council resolution 837 (1993) on the investigation into the 5 June 1993 attack on the UN forces in Somalia conducted on behalf of the UN Security Council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2351).</w:t>
      </w:r>
    </w:p>
    <w:bookmarkStart w:id="37" w:name="Fn_61_15"/>
    <w:p w:rsidR="004325FD" w:rsidRPr="004325FD" w:rsidRDefault="004325FD" w:rsidP="004325FD">
      <w:pPr>
        <w:shd w:val="clear" w:color="auto" w:fill="ECECEC"/>
        <w:spacing w:after="0" w:line="264" w:lineRule="atLeast"/>
        <w:jc w:val="both"/>
        <w:rPr>
          <w:rFonts w:ascii="Arial" w:eastAsia="Times New Roman" w:hAnsi="Arial" w:cs="Arial"/>
          <w:color w:val="000000"/>
          <w:spacing w:val="3"/>
          <w:sz w:val="19"/>
          <w:szCs w:val="19"/>
        </w:rPr>
      </w:pPr>
      <w:r w:rsidRPr="004325FD">
        <w:rPr>
          <w:rFonts w:ascii="Arial" w:eastAsia="Times New Roman" w:hAnsi="Arial" w:cs="Arial"/>
          <w:color w:val="000000"/>
          <w:spacing w:val="3"/>
          <w:sz w:val="19"/>
          <w:szCs w:val="19"/>
        </w:rPr>
        <w:fldChar w:fldCharType="begin"/>
      </w:r>
      <w:r w:rsidRPr="004325FD">
        <w:rPr>
          <w:rFonts w:ascii="Arial" w:eastAsia="Times New Roman" w:hAnsi="Arial" w:cs="Arial"/>
          <w:color w:val="000000"/>
          <w:spacing w:val="3"/>
          <w:sz w:val="19"/>
          <w:szCs w:val="19"/>
        </w:rPr>
        <w:instrText xml:space="preserve"> HYPERLINK "https://www.icrc.org/customary-ihl/eng/docs/v1_rul_rule97" \l "refFn_61_15" </w:instrText>
      </w:r>
      <w:r w:rsidRPr="004325FD">
        <w:rPr>
          <w:rFonts w:ascii="Arial" w:eastAsia="Times New Roman" w:hAnsi="Arial" w:cs="Arial"/>
          <w:color w:val="000000"/>
          <w:spacing w:val="3"/>
          <w:sz w:val="19"/>
          <w:szCs w:val="19"/>
        </w:rPr>
        <w:fldChar w:fldCharType="separate"/>
      </w:r>
      <w:r w:rsidRPr="004325FD">
        <w:rPr>
          <w:rFonts w:ascii="Arial" w:eastAsia="Times New Roman" w:hAnsi="Arial" w:cs="Arial"/>
          <w:i/>
          <w:iCs/>
          <w:color w:val="4C7C8E"/>
          <w:spacing w:val="3"/>
          <w:sz w:val="15"/>
          <w:szCs w:val="15"/>
        </w:rPr>
        <w:t>[15]</w:t>
      </w:r>
      <w:r w:rsidRPr="004325FD">
        <w:rPr>
          <w:rFonts w:ascii="Arial" w:eastAsia="Times New Roman" w:hAnsi="Arial" w:cs="Arial"/>
          <w:color w:val="000000"/>
          <w:spacing w:val="3"/>
          <w:sz w:val="19"/>
          <w:szCs w:val="19"/>
        </w:rPr>
        <w:fldChar w:fldCharType="end"/>
      </w:r>
      <w:bookmarkEnd w:id="37"/>
      <w:r w:rsidRPr="004325FD">
        <w:rPr>
          <w:rFonts w:ascii="Arial" w:eastAsia="Times New Roman" w:hAnsi="Arial" w:cs="Arial"/>
          <w:color w:val="000000"/>
          <w:spacing w:val="3"/>
          <w:sz w:val="19"/>
          <w:szCs w:val="19"/>
        </w:rPr>
        <w:t xml:space="preserve"> See, e.g., ICRC, Communication to the Press No. 93/17 (</w:t>
      </w:r>
      <w:proofErr w:type="gramStart"/>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w:t>
      </w:r>
      <w:proofErr w:type="gramEnd"/>
      <w:r w:rsidRPr="004325FD">
        <w:rPr>
          <w:rFonts w:ascii="Arial" w:eastAsia="Times New Roman" w:hAnsi="Arial" w:cs="Arial"/>
          <w:color w:val="000000"/>
          <w:spacing w:val="3"/>
          <w:sz w:val="19"/>
          <w:szCs w:val="19"/>
        </w:rPr>
        <w:t xml:space="preserve"> § 2367) and archive document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2368).</w:t>
      </w:r>
    </w:p>
    <w:bookmarkStart w:id="38" w:name="Fn_61_16"/>
    <w:p w:rsidR="004325FD" w:rsidRPr="004325FD" w:rsidRDefault="004325FD" w:rsidP="004325FD">
      <w:pPr>
        <w:shd w:val="clear" w:color="auto" w:fill="ECECEC"/>
        <w:spacing w:after="0" w:line="264" w:lineRule="atLeast"/>
        <w:jc w:val="both"/>
        <w:rPr>
          <w:rFonts w:ascii="Arial" w:eastAsia="Times New Roman" w:hAnsi="Arial" w:cs="Arial"/>
          <w:color w:val="000000"/>
          <w:spacing w:val="3"/>
          <w:sz w:val="19"/>
          <w:szCs w:val="19"/>
        </w:rPr>
      </w:pPr>
      <w:r w:rsidRPr="004325FD">
        <w:rPr>
          <w:rFonts w:ascii="Arial" w:eastAsia="Times New Roman" w:hAnsi="Arial" w:cs="Arial"/>
          <w:color w:val="000000"/>
          <w:spacing w:val="3"/>
          <w:sz w:val="19"/>
          <w:szCs w:val="19"/>
        </w:rPr>
        <w:fldChar w:fldCharType="begin"/>
      </w:r>
      <w:r w:rsidRPr="004325FD">
        <w:rPr>
          <w:rFonts w:ascii="Arial" w:eastAsia="Times New Roman" w:hAnsi="Arial" w:cs="Arial"/>
          <w:color w:val="000000"/>
          <w:spacing w:val="3"/>
          <w:sz w:val="19"/>
          <w:szCs w:val="19"/>
        </w:rPr>
        <w:instrText xml:space="preserve"> HYPERLINK "https://www.icrc.org/customary-ihl/eng/docs/v1_rul_rule97" \l "refFn_61_16" </w:instrText>
      </w:r>
      <w:r w:rsidRPr="004325FD">
        <w:rPr>
          <w:rFonts w:ascii="Arial" w:eastAsia="Times New Roman" w:hAnsi="Arial" w:cs="Arial"/>
          <w:color w:val="000000"/>
          <w:spacing w:val="3"/>
          <w:sz w:val="19"/>
          <w:szCs w:val="19"/>
        </w:rPr>
        <w:fldChar w:fldCharType="separate"/>
      </w:r>
      <w:r w:rsidRPr="004325FD">
        <w:rPr>
          <w:rFonts w:ascii="Arial" w:eastAsia="Times New Roman" w:hAnsi="Arial" w:cs="Arial"/>
          <w:i/>
          <w:iCs/>
          <w:color w:val="4C7C8E"/>
          <w:spacing w:val="3"/>
          <w:sz w:val="15"/>
          <w:szCs w:val="15"/>
        </w:rPr>
        <w:t>[16]</w:t>
      </w:r>
      <w:r w:rsidRPr="004325FD">
        <w:rPr>
          <w:rFonts w:ascii="Arial" w:eastAsia="Times New Roman" w:hAnsi="Arial" w:cs="Arial"/>
          <w:color w:val="000000"/>
          <w:spacing w:val="3"/>
          <w:sz w:val="19"/>
          <w:szCs w:val="19"/>
        </w:rPr>
        <w:fldChar w:fldCharType="end"/>
      </w:r>
      <w:bookmarkEnd w:id="38"/>
      <w:r w:rsidRPr="004325FD">
        <w:rPr>
          <w:rFonts w:ascii="Arial" w:eastAsia="Times New Roman" w:hAnsi="Arial" w:cs="Arial"/>
          <w:color w:val="000000"/>
          <w:spacing w:val="3"/>
          <w:sz w:val="19"/>
          <w:szCs w:val="19"/>
        </w:rPr>
        <w:t xml:space="preserve"> UN Human Rights Committee, General Comment No. 6 (Article 6 of the International Covenant on Civil and Political Rights) (</w:t>
      </w:r>
      <w:proofErr w:type="gramStart"/>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w:t>
      </w:r>
      <w:proofErr w:type="gramEnd"/>
      <w:r w:rsidRPr="004325FD">
        <w:rPr>
          <w:rFonts w:ascii="Arial" w:eastAsia="Times New Roman" w:hAnsi="Arial" w:cs="Arial"/>
          <w:color w:val="000000"/>
          <w:spacing w:val="3"/>
          <w:sz w:val="19"/>
          <w:szCs w:val="19"/>
        </w:rPr>
        <w:t xml:space="preserve"> § 2365); African Commission on Human and Peoples’ Rights, </w:t>
      </w:r>
      <w:r w:rsidRPr="004325FD">
        <w:rPr>
          <w:rFonts w:ascii="Arial" w:eastAsia="Times New Roman" w:hAnsi="Arial" w:cs="Arial"/>
          <w:i/>
          <w:iCs/>
          <w:color w:val="000000"/>
          <w:spacing w:val="3"/>
          <w:sz w:val="19"/>
          <w:szCs w:val="19"/>
        </w:rPr>
        <w:t xml:space="preserve">Civil Liberties </w:t>
      </w:r>
      <w:proofErr w:type="spellStart"/>
      <w:r w:rsidRPr="004325FD">
        <w:rPr>
          <w:rFonts w:ascii="Arial" w:eastAsia="Times New Roman" w:hAnsi="Arial" w:cs="Arial"/>
          <w:i/>
          <w:iCs/>
          <w:color w:val="000000"/>
          <w:spacing w:val="3"/>
          <w:sz w:val="19"/>
          <w:szCs w:val="19"/>
        </w:rPr>
        <w:t>Organisation</w:t>
      </w:r>
      <w:proofErr w:type="spellEnd"/>
      <w:r w:rsidRPr="004325FD">
        <w:rPr>
          <w:rFonts w:ascii="Arial" w:eastAsia="Times New Roman" w:hAnsi="Arial" w:cs="Arial"/>
          <w:i/>
          <w:iCs/>
          <w:color w:val="000000"/>
          <w:spacing w:val="3"/>
          <w:sz w:val="19"/>
          <w:szCs w:val="19"/>
        </w:rPr>
        <w:t xml:space="preserve"> v. Chad</w:t>
      </w:r>
      <w:r w:rsidRPr="004325FD">
        <w:rPr>
          <w:rFonts w:ascii="Arial" w:eastAsia="Times New Roman" w:hAnsi="Arial" w:cs="Arial"/>
          <w:color w:val="000000"/>
          <w:spacing w:val="3"/>
          <w:sz w:val="19"/>
          <w:szCs w:val="19"/>
        </w:rPr>
        <w:t>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940); European Court of Human Rights, </w:t>
      </w:r>
      <w:proofErr w:type="spellStart"/>
      <w:r w:rsidRPr="004325FD">
        <w:rPr>
          <w:rFonts w:ascii="Arial" w:eastAsia="Times New Roman" w:hAnsi="Arial" w:cs="Arial"/>
          <w:i/>
          <w:iCs/>
          <w:color w:val="000000"/>
          <w:spacing w:val="3"/>
          <w:sz w:val="19"/>
          <w:szCs w:val="19"/>
        </w:rPr>
        <w:t>Demiray</w:t>
      </w:r>
      <w:proofErr w:type="spellEnd"/>
      <w:r w:rsidRPr="004325FD">
        <w:rPr>
          <w:rFonts w:ascii="Arial" w:eastAsia="Times New Roman" w:hAnsi="Arial" w:cs="Arial"/>
          <w:i/>
          <w:iCs/>
          <w:color w:val="000000"/>
          <w:spacing w:val="3"/>
          <w:sz w:val="19"/>
          <w:szCs w:val="19"/>
        </w:rPr>
        <w:t xml:space="preserve"> v. Turkey</w:t>
      </w:r>
      <w:r w:rsidRPr="004325FD">
        <w:rPr>
          <w:rFonts w:ascii="Arial" w:eastAsia="Times New Roman" w:hAnsi="Arial" w:cs="Arial"/>
          <w:color w:val="000000"/>
          <w:spacing w:val="3"/>
          <w:sz w:val="19"/>
          <w:szCs w:val="19"/>
        </w:rPr>
        <w:t>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2367).</w:t>
      </w:r>
    </w:p>
    <w:bookmarkStart w:id="39" w:name="Fn_61_17"/>
    <w:p w:rsidR="004325FD" w:rsidRPr="004325FD" w:rsidRDefault="004325FD" w:rsidP="004325FD">
      <w:pPr>
        <w:shd w:val="clear" w:color="auto" w:fill="ECECEC"/>
        <w:spacing w:after="0" w:line="264" w:lineRule="atLeast"/>
        <w:jc w:val="both"/>
        <w:rPr>
          <w:rFonts w:ascii="Arial" w:eastAsia="Times New Roman" w:hAnsi="Arial" w:cs="Arial"/>
          <w:color w:val="000000"/>
          <w:spacing w:val="3"/>
          <w:sz w:val="19"/>
          <w:szCs w:val="19"/>
        </w:rPr>
      </w:pPr>
      <w:r w:rsidRPr="004325FD">
        <w:rPr>
          <w:rFonts w:ascii="Arial" w:eastAsia="Times New Roman" w:hAnsi="Arial" w:cs="Arial"/>
          <w:color w:val="000000"/>
          <w:spacing w:val="3"/>
          <w:sz w:val="19"/>
          <w:szCs w:val="19"/>
        </w:rPr>
        <w:fldChar w:fldCharType="begin"/>
      </w:r>
      <w:r w:rsidRPr="004325FD">
        <w:rPr>
          <w:rFonts w:ascii="Arial" w:eastAsia="Times New Roman" w:hAnsi="Arial" w:cs="Arial"/>
          <w:color w:val="000000"/>
          <w:spacing w:val="3"/>
          <w:sz w:val="19"/>
          <w:szCs w:val="19"/>
        </w:rPr>
        <w:instrText xml:space="preserve"> HYPERLINK "https://www.icrc.org/customary-ihl/eng/docs/v1_rul_rule97" \l "refFn_61_17" </w:instrText>
      </w:r>
      <w:r w:rsidRPr="004325FD">
        <w:rPr>
          <w:rFonts w:ascii="Arial" w:eastAsia="Times New Roman" w:hAnsi="Arial" w:cs="Arial"/>
          <w:color w:val="000000"/>
          <w:spacing w:val="3"/>
          <w:sz w:val="19"/>
          <w:szCs w:val="19"/>
        </w:rPr>
        <w:fldChar w:fldCharType="separate"/>
      </w:r>
      <w:r w:rsidRPr="004325FD">
        <w:rPr>
          <w:rFonts w:ascii="Arial" w:eastAsia="Times New Roman" w:hAnsi="Arial" w:cs="Arial"/>
          <w:i/>
          <w:iCs/>
          <w:color w:val="4C7C8E"/>
          <w:spacing w:val="3"/>
          <w:sz w:val="15"/>
          <w:szCs w:val="15"/>
        </w:rPr>
        <w:t>[17]</w:t>
      </w:r>
      <w:r w:rsidRPr="004325FD">
        <w:rPr>
          <w:rFonts w:ascii="Arial" w:eastAsia="Times New Roman" w:hAnsi="Arial" w:cs="Arial"/>
          <w:color w:val="000000"/>
          <w:spacing w:val="3"/>
          <w:sz w:val="19"/>
          <w:szCs w:val="19"/>
        </w:rPr>
        <w:fldChar w:fldCharType="end"/>
      </w:r>
      <w:bookmarkEnd w:id="39"/>
      <w:r w:rsidRPr="004325FD">
        <w:rPr>
          <w:rFonts w:ascii="Arial" w:eastAsia="Times New Roman" w:hAnsi="Arial" w:cs="Arial"/>
          <w:color w:val="000000"/>
          <w:spacing w:val="3"/>
          <w:sz w:val="19"/>
          <w:szCs w:val="19"/>
        </w:rPr>
        <w:t xml:space="preserve"> European Court of Human Rights, </w:t>
      </w:r>
      <w:proofErr w:type="spellStart"/>
      <w:r w:rsidRPr="004325FD">
        <w:rPr>
          <w:rFonts w:ascii="Arial" w:eastAsia="Times New Roman" w:hAnsi="Arial" w:cs="Arial"/>
          <w:i/>
          <w:iCs/>
          <w:color w:val="000000"/>
          <w:spacing w:val="3"/>
          <w:sz w:val="19"/>
          <w:szCs w:val="19"/>
        </w:rPr>
        <w:t>Demiray</w:t>
      </w:r>
      <w:proofErr w:type="spellEnd"/>
      <w:r w:rsidRPr="004325FD">
        <w:rPr>
          <w:rFonts w:ascii="Arial" w:eastAsia="Times New Roman" w:hAnsi="Arial" w:cs="Arial"/>
          <w:i/>
          <w:iCs/>
          <w:color w:val="000000"/>
          <w:spacing w:val="3"/>
          <w:sz w:val="19"/>
          <w:szCs w:val="19"/>
        </w:rPr>
        <w:t xml:space="preserve"> v. Turkey</w:t>
      </w:r>
      <w:r w:rsidRPr="004325FD">
        <w:rPr>
          <w:rFonts w:ascii="Arial" w:eastAsia="Times New Roman" w:hAnsi="Arial" w:cs="Arial"/>
          <w:color w:val="000000"/>
          <w:spacing w:val="3"/>
          <w:sz w:val="19"/>
          <w:szCs w:val="19"/>
        </w:rPr>
        <w:t> (</w:t>
      </w:r>
      <w:proofErr w:type="gramStart"/>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w:t>
      </w:r>
      <w:proofErr w:type="gramEnd"/>
      <w:r w:rsidRPr="004325FD">
        <w:rPr>
          <w:rFonts w:ascii="Arial" w:eastAsia="Times New Roman" w:hAnsi="Arial" w:cs="Arial"/>
          <w:color w:val="000000"/>
          <w:spacing w:val="3"/>
          <w:sz w:val="19"/>
          <w:szCs w:val="19"/>
        </w:rPr>
        <w:t xml:space="preserve"> § 2367).</w:t>
      </w:r>
    </w:p>
    <w:bookmarkStart w:id="40" w:name="Fn_61_18"/>
    <w:p w:rsidR="004325FD" w:rsidRPr="004325FD" w:rsidRDefault="004325FD" w:rsidP="004325FD">
      <w:pPr>
        <w:shd w:val="clear" w:color="auto" w:fill="ECECEC"/>
        <w:spacing w:after="0" w:line="264" w:lineRule="atLeast"/>
        <w:jc w:val="both"/>
        <w:rPr>
          <w:rFonts w:ascii="Arial" w:eastAsia="Times New Roman" w:hAnsi="Arial" w:cs="Arial"/>
          <w:color w:val="000000"/>
          <w:spacing w:val="3"/>
          <w:sz w:val="19"/>
          <w:szCs w:val="19"/>
        </w:rPr>
      </w:pPr>
      <w:r w:rsidRPr="004325FD">
        <w:rPr>
          <w:rFonts w:ascii="Arial" w:eastAsia="Times New Roman" w:hAnsi="Arial" w:cs="Arial"/>
          <w:color w:val="000000"/>
          <w:spacing w:val="3"/>
          <w:sz w:val="19"/>
          <w:szCs w:val="19"/>
        </w:rPr>
        <w:fldChar w:fldCharType="begin"/>
      </w:r>
      <w:r w:rsidRPr="004325FD">
        <w:rPr>
          <w:rFonts w:ascii="Arial" w:eastAsia="Times New Roman" w:hAnsi="Arial" w:cs="Arial"/>
          <w:color w:val="000000"/>
          <w:spacing w:val="3"/>
          <w:sz w:val="19"/>
          <w:szCs w:val="19"/>
        </w:rPr>
        <w:instrText xml:space="preserve"> HYPERLINK "https://www.icrc.org/customary-ihl/eng/docs/v1_rul_rule97" \l "refFn_61_18" </w:instrText>
      </w:r>
      <w:r w:rsidRPr="004325FD">
        <w:rPr>
          <w:rFonts w:ascii="Arial" w:eastAsia="Times New Roman" w:hAnsi="Arial" w:cs="Arial"/>
          <w:color w:val="000000"/>
          <w:spacing w:val="3"/>
          <w:sz w:val="19"/>
          <w:szCs w:val="19"/>
        </w:rPr>
        <w:fldChar w:fldCharType="separate"/>
      </w:r>
      <w:r w:rsidRPr="004325FD">
        <w:rPr>
          <w:rFonts w:ascii="Arial" w:eastAsia="Times New Roman" w:hAnsi="Arial" w:cs="Arial"/>
          <w:i/>
          <w:iCs/>
          <w:color w:val="4C7C8E"/>
          <w:spacing w:val="3"/>
          <w:sz w:val="15"/>
          <w:szCs w:val="15"/>
        </w:rPr>
        <w:t>[18]</w:t>
      </w:r>
      <w:r w:rsidRPr="004325FD">
        <w:rPr>
          <w:rFonts w:ascii="Arial" w:eastAsia="Times New Roman" w:hAnsi="Arial" w:cs="Arial"/>
          <w:color w:val="000000"/>
          <w:spacing w:val="3"/>
          <w:sz w:val="19"/>
          <w:szCs w:val="19"/>
        </w:rPr>
        <w:fldChar w:fldCharType="end"/>
      </w:r>
      <w:bookmarkEnd w:id="40"/>
      <w:r w:rsidRPr="004325FD">
        <w:rPr>
          <w:rFonts w:ascii="Arial" w:eastAsia="Times New Roman" w:hAnsi="Arial" w:cs="Arial"/>
          <w:color w:val="000000"/>
          <w:spacing w:val="3"/>
          <w:sz w:val="19"/>
          <w:szCs w:val="19"/>
        </w:rPr>
        <w:t xml:space="preserve"> Third Geneva Convention, Article 23, first paragraph (</w:t>
      </w:r>
      <w:proofErr w:type="gramStart"/>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w:t>
      </w:r>
      <w:proofErr w:type="gramEnd"/>
      <w:r w:rsidRPr="004325FD">
        <w:rPr>
          <w:rFonts w:ascii="Arial" w:eastAsia="Times New Roman" w:hAnsi="Arial" w:cs="Arial"/>
          <w:color w:val="000000"/>
          <w:spacing w:val="3"/>
          <w:sz w:val="19"/>
          <w:szCs w:val="19"/>
        </w:rPr>
        <w:t xml:space="preserve"> § 2251); Fourth Geneva Convention, Article 28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2252); Additional Protocol I, Article 12(4) (adopted by consensus)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2253) and Article 51(7)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2254); ICC Statute, Article 8(2)(b)(xxiii)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2255).</w:t>
      </w:r>
    </w:p>
    <w:bookmarkStart w:id="41" w:name="Fn_61_19"/>
    <w:p w:rsidR="004325FD" w:rsidRPr="004325FD" w:rsidRDefault="004325FD" w:rsidP="004325FD">
      <w:pPr>
        <w:shd w:val="clear" w:color="auto" w:fill="ECECEC"/>
        <w:spacing w:after="0" w:line="264" w:lineRule="atLeast"/>
        <w:jc w:val="both"/>
        <w:rPr>
          <w:rFonts w:ascii="Arial" w:eastAsia="Times New Roman" w:hAnsi="Arial" w:cs="Arial"/>
          <w:color w:val="000000"/>
          <w:spacing w:val="3"/>
          <w:sz w:val="19"/>
          <w:szCs w:val="19"/>
        </w:rPr>
      </w:pPr>
      <w:r w:rsidRPr="004325FD">
        <w:rPr>
          <w:rFonts w:ascii="Arial" w:eastAsia="Times New Roman" w:hAnsi="Arial" w:cs="Arial"/>
          <w:color w:val="000000"/>
          <w:spacing w:val="3"/>
          <w:sz w:val="19"/>
          <w:szCs w:val="19"/>
        </w:rPr>
        <w:fldChar w:fldCharType="begin"/>
      </w:r>
      <w:r w:rsidRPr="004325FD">
        <w:rPr>
          <w:rFonts w:ascii="Arial" w:eastAsia="Times New Roman" w:hAnsi="Arial" w:cs="Arial"/>
          <w:color w:val="000000"/>
          <w:spacing w:val="3"/>
          <w:sz w:val="19"/>
          <w:szCs w:val="19"/>
        </w:rPr>
        <w:instrText xml:space="preserve"> HYPERLINK "https://www.icrc.org/customary-ihl/eng/docs/v1_rul_rule97" \l "refFn_61_19" </w:instrText>
      </w:r>
      <w:r w:rsidRPr="004325FD">
        <w:rPr>
          <w:rFonts w:ascii="Arial" w:eastAsia="Times New Roman" w:hAnsi="Arial" w:cs="Arial"/>
          <w:color w:val="000000"/>
          <w:spacing w:val="3"/>
          <w:sz w:val="19"/>
          <w:szCs w:val="19"/>
        </w:rPr>
        <w:fldChar w:fldCharType="separate"/>
      </w:r>
      <w:r w:rsidRPr="004325FD">
        <w:rPr>
          <w:rFonts w:ascii="Arial" w:eastAsia="Times New Roman" w:hAnsi="Arial" w:cs="Arial"/>
          <w:i/>
          <w:iCs/>
          <w:color w:val="4C7C8E"/>
          <w:spacing w:val="3"/>
          <w:sz w:val="15"/>
          <w:szCs w:val="15"/>
        </w:rPr>
        <w:t>[19]</w:t>
      </w:r>
      <w:r w:rsidRPr="004325FD">
        <w:rPr>
          <w:rFonts w:ascii="Arial" w:eastAsia="Times New Roman" w:hAnsi="Arial" w:cs="Arial"/>
          <w:color w:val="000000"/>
          <w:spacing w:val="3"/>
          <w:sz w:val="19"/>
          <w:szCs w:val="19"/>
        </w:rPr>
        <w:fldChar w:fldCharType="end"/>
      </w:r>
      <w:bookmarkEnd w:id="41"/>
      <w:r w:rsidRPr="004325FD">
        <w:rPr>
          <w:rFonts w:ascii="Arial" w:eastAsia="Times New Roman" w:hAnsi="Arial" w:cs="Arial"/>
          <w:color w:val="000000"/>
          <w:spacing w:val="3"/>
          <w:sz w:val="19"/>
          <w:szCs w:val="19"/>
        </w:rPr>
        <w:t xml:space="preserve"> See the military manuals of New Zealand (</w:t>
      </w:r>
      <w:proofErr w:type="gramStart"/>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w:t>
      </w:r>
      <w:proofErr w:type="gramEnd"/>
      <w:r w:rsidRPr="004325FD">
        <w:rPr>
          <w:rFonts w:ascii="Arial" w:eastAsia="Times New Roman" w:hAnsi="Arial" w:cs="Arial"/>
          <w:color w:val="000000"/>
          <w:spacing w:val="3"/>
          <w:sz w:val="19"/>
          <w:szCs w:val="19"/>
        </w:rPr>
        <w:t xml:space="preserve"> § 2277) and United Kingdom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2280).</w:t>
      </w:r>
    </w:p>
    <w:bookmarkStart w:id="42" w:name="Fn_61_20"/>
    <w:p w:rsidR="004325FD" w:rsidRPr="004325FD" w:rsidRDefault="004325FD" w:rsidP="004325FD">
      <w:pPr>
        <w:shd w:val="clear" w:color="auto" w:fill="ECECEC"/>
        <w:spacing w:after="0" w:line="264" w:lineRule="atLeast"/>
        <w:jc w:val="both"/>
        <w:rPr>
          <w:rFonts w:ascii="Arial" w:eastAsia="Times New Roman" w:hAnsi="Arial" w:cs="Arial"/>
          <w:color w:val="000000"/>
          <w:spacing w:val="3"/>
          <w:sz w:val="19"/>
          <w:szCs w:val="19"/>
        </w:rPr>
      </w:pPr>
      <w:r w:rsidRPr="004325FD">
        <w:rPr>
          <w:rFonts w:ascii="Arial" w:eastAsia="Times New Roman" w:hAnsi="Arial" w:cs="Arial"/>
          <w:color w:val="000000"/>
          <w:spacing w:val="3"/>
          <w:sz w:val="19"/>
          <w:szCs w:val="19"/>
        </w:rPr>
        <w:fldChar w:fldCharType="begin"/>
      </w:r>
      <w:r w:rsidRPr="004325FD">
        <w:rPr>
          <w:rFonts w:ascii="Arial" w:eastAsia="Times New Roman" w:hAnsi="Arial" w:cs="Arial"/>
          <w:color w:val="000000"/>
          <w:spacing w:val="3"/>
          <w:sz w:val="19"/>
          <w:szCs w:val="19"/>
        </w:rPr>
        <w:instrText xml:space="preserve"> HYPERLINK "https://www.icrc.org/customary-ihl/eng/docs/v1_rul_rule97" \l "refFn_61_20" </w:instrText>
      </w:r>
      <w:r w:rsidRPr="004325FD">
        <w:rPr>
          <w:rFonts w:ascii="Arial" w:eastAsia="Times New Roman" w:hAnsi="Arial" w:cs="Arial"/>
          <w:color w:val="000000"/>
          <w:spacing w:val="3"/>
          <w:sz w:val="19"/>
          <w:szCs w:val="19"/>
        </w:rPr>
        <w:fldChar w:fldCharType="separate"/>
      </w:r>
      <w:r w:rsidRPr="004325FD">
        <w:rPr>
          <w:rFonts w:ascii="Arial" w:eastAsia="Times New Roman" w:hAnsi="Arial" w:cs="Arial"/>
          <w:i/>
          <w:iCs/>
          <w:color w:val="4C7C8E"/>
          <w:spacing w:val="3"/>
          <w:sz w:val="15"/>
          <w:szCs w:val="15"/>
        </w:rPr>
        <w:t>[20]</w:t>
      </w:r>
      <w:r w:rsidRPr="004325FD">
        <w:rPr>
          <w:rFonts w:ascii="Arial" w:eastAsia="Times New Roman" w:hAnsi="Arial" w:cs="Arial"/>
          <w:color w:val="000000"/>
          <w:spacing w:val="3"/>
          <w:sz w:val="19"/>
          <w:szCs w:val="19"/>
        </w:rPr>
        <w:fldChar w:fldCharType="end"/>
      </w:r>
      <w:bookmarkEnd w:id="42"/>
      <w:r w:rsidRPr="004325FD">
        <w:rPr>
          <w:rFonts w:ascii="Arial" w:eastAsia="Times New Roman" w:hAnsi="Arial" w:cs="Arial"/>
          <w:color w:val="000000"/>
          <w:spacing w:val="3"/>
          <w:sz w:val="19"/>
          <w:szCs w:val="19"/>
        </w:rPr>
        <w:t xml:space="preserve"> See, e.g., the statements of Germany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2314), Italy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2317), Kuwait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2319), Senegal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2324), United Kingdom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2327–2332) and United States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2335–2340 and 2342–2343); UN Commission on Human Rights, Res. 1992/71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2347); EC, Declaration on the situation of foreigners in Iraq and Kuwait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2356), Statement before the Third Committee of the UN General Assembly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2357), Statement on the situation of prisoners of war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2358) and Declaration on the Gulf crisis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2359).</w:t>
      </w:r>
    </w:p>
    <w:bookmarkStart w:id="43" w:name="Fn_61_21"/>
    <w:p w:rsidR="004325FD" w:rsidRPr="004325FD" w:rsidRDefault="004325FD" w:rsidP="004325FD">
      <w:pPr>
        <w:shd w:val="clear" w:color="auto" w:fill="ECECEC"/>
        <w:spacing w:after="0" w:line="264" w:lineRule="atLeast"/>
        <w:jc w:val="both"/>
        <w:rPr>
          <w:rFonts w:ascii="Arial" w:eastAsia="Times New Roman" w:hAnsi="Arial" w:cs="Arial"/>
          <w:color w:val="000000"/>
          <w:spacing w:val="3"/>
          <w:sz w:val="19"/>
          <w:szCs w:val="19"/>
        </w:rPr>
      </w:pPr>
      <w:r w:rsidRPr="004325FD">
        <w:rPr>
          <w:rFonts w:ascii="Arial" w:eastAsia="Times New Roman" w:hAnsi="Arial" w:cs="Arial"/>
          <w:color w:val="000000"/>
          <w:spacing w:val="3"/>
          <w:sz w:val="19"/>
          <w:szCs w:val="19"/>
        </w:rPr>
        <w:fldChar w:fldCharType="begin"/>
      </w:r>
      <w:r w:rsidRPr="004325FD">
        <w:rPr>
          <w:rFonts w:ascii="Arial" w:eastAsia="Times New Roman" w:hAnsi="Arial" w:cs="Arial"/>
          <w:color w:val="000000"/>
          <w:spacing w:val="3"/>
          <w:sz w:val="19"/>
          <w:szCs w:val="19"/>
        </w:rPr>
        <w:instrText xml:space="preserve"> HYPERLINK "https://www.icrc.org/customary-ihl/eng/docs/v1_rul_rule97" \l "refFn_61_21" </w:instrText>
      </w:r>
      <w:r w:rsidRPr="004325FD">
        <w:rPr>
          <w:rFonts w:ascii="Arial" w:eastAsia="Times New Roman" w:hAnsi="Arial" w:cs="Arial"/>
          <w:color w:val="000000"/>
          <w:spacing w:val="3"/>
          <w:sz w:val="19"/>
          <w:szCs w:val="19"/>
        </w:rPr>
        <w:fldChar w:fldCharType="separate"/>
      </w:r>
      <w:r w:rsidRPr="004325FD">
        <w:rPr>
          <w:rFonts w:ascii="Arial" w:eastAsia="Times New Roman" w:hAnsi="Arial" w:cs="Arial"/>
          <w:i/>
          <w:iCs/>
          <w:color w:val="4C7C8E"/>
          <w:spacing w:val="3"/>
          <w:sz w:val="15"/>
          <w:szCs w:val="15"/>
        </w:rPr>
        <w:t>[21]</w:t>
      </w:r>
      <w:r w:rsidRPr="004325FD">
        <w:rPr>
          <w:rFonts w:ascii="Arial" w:eastAsia="Times New Roman" w:hAnsi="Arial" w:cs="Arial"/>
          <w:color w:val="000000"/>
          <w:spacing w:val="3"/>
          <w:sz w:val="19"/>
          <w:szCs w:val="19"/>
        </w:rPr>
        <w:fldChar w:fldCharType="end"/>
      </w:r>
      <w:bookmarkEnd w:id="43"/>
      <w:r w:rsidRPr="004325FD">
        <w:rPr>
          <w:rFonts w:ascii="Arial" w:eastAsia="Times New Roman" w:hAnsi="Arial" w:cs="Arial"/>
          <w:color w:val="000000"/>
          <w:spacing w:val="3"/>
          <w:sz w:val="19"/>
          <w:szCs w:val="19"/>
        </w:rPr>
        <w:t xml:space="preserve"> See, e.g., the statement of Yugoslavia (</w:t>
      </w:r>
      <w:proofErr w:type="gramStart"/>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w:t>
      </w:r>
      <w:proofErr w:type="gramEnd"/>
      <w:r w:rsidRPr="004325FD">
        <w:rPr>
          <w:rFonts w:ascii="Arial" w:eastAsia="Times New Roman" w:hAnsi="Arial" w:cs="Arial"/>
          <w:color w:val="000000"/>
          <w:spacing w:val="3"/>
          <w:sz w:val="19"/>
          <w:szCs w:val="19"/>
        </w:rPr>
        <w:t xml:space="preserve"> § 2346); UN Commission on Human Rights, Res. 1995/89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2348); UN Secretary-General, Progress report on UNOMIL (</w:t>
      </w:r>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 § 2349).</w:t>
      </w:r>
    </w:p>
    <w:bookmarkStart w:id="44" w:name="Fn_61_22"/>
    <w:p w:rsidR="004325FD" w:rsidRPr="004325FD" w:rsidRDefault="004325FD" w:rsidP="004325FD">
      <w:pPr>
        <w:shd w:val="clear" w:color="auto" w:fill="ECECEC"/>
        <w:spacing w:after="0" w:line="264" w:lineRule="atLeast"/>
        <w:jc w:val="both"/>
        <w:rPr>
          <w:rFonts w:ascii="Arial" w:eastAsia="Times New Roman" w:hAnsi="Arial" w:cs="Arial"/>
          <w:color w:val="000000"/>
          <w:spacing w:val="3"/>
          <w:sz w:val="19"/>
          <w:szCs w:val="19"/>
        </w:rPr>
      </w:pPr>
      <w:r w:rsidRPr="004325FD">
        <w:rPr>
          <w:rFonts w:ascii="Arial" w:eastAsia="Times New Roman" w:hAnsi="Arial" w:cs="Arial"/>
          <w:color w:val="000000"/>
          <w:spacing w:val="3"/>
          <w:sz w:val="19"/>
          <w:szCs w:val="19"/>
        </w:rPr>
        <w:fldChar w:fldCharType="begin"/>
      </w:r>
      <w:r w:rsidRPr="004325FD">
        <w:rPr>
          <w:rFonts w:ascii="Arial" w:eastAsia="Times New Roman" w:hAnsi="Arial" w:cs="Arial"/>
          <w:color w:val="000000"/>
          <w:spacing w:val="3"/>
          <w:sz w:val="19"/>
          <w:szCs w:val="19"/>
        </w:rPr>
        <w:instrText xml:space="preserve"> HYPERLINK "https://www.icrc.org/customary-ihl/eng/docs/v1_rul_rule97" \l "refFn_61_22" </w:instrText>
      </w:r>
      <w:r w:rsidRPr="004325FD">
        <w:rPr>
          <w:rFonts w:ascii="Arial" w:eastAsia="Times New Roman" w:hAnsi="Arial" w:cs="Arial"/>
          <w:color w:val="000000"/>
          <w:spacing w:val="3"/>
          <w:sz w:val="19"/>
          <w:szCs w:val="19"/>
        </w:rPr>
        <w:fldChar w:fldCharType="separate"/>
      </w:r>
      <w:r w:rsidRPr="004325FD">
        <w:rPr>
          <w:rFonts w:ascii="Arial" w:eastAsia="Times New Roman" w:hAnsi="Arial" w:cs="Arial"/>
          <w:i/>
          <w:iCs/>
          <w:color w:val="4C7C8E"/>
          <w:spacing w:val="3"/>
          <w:sz w:val="15"/>
          <w:szCs w:val="15"/>
        </w:rPr>
        <w:t>[22]</w:t>
      </w:r>
      <w:r w:rsidRPr="004325FD">
        <w:rPr>
          <w:rFonts w:ascii="Arial" w:eastAsia="Times New Roman" w:hAnsi="Arial" w:cs="Arial"/>
          <w:color w:val="000000"/>
          <w:spacing w:val="3"/>
          <w:sz w:val="19"/>
          <w:szCs w:val="19"/>
        </w:rPr>
        <w:fldChar w:fldCharType="end"/>
      </w:r>
      <w:bookmarkEnd w:id="44"/>
      <w:r w:rsidRPr="004325FD">
        <w:rPr>
          <w:rFonts w:ascii="Arial" w:eastAsia="Times New Roman" w:hAnsi="Arial" w:cs="Arial"/>
          <w:color w:val="000000"/>
          <w:spacing w:val="3"/>
          <w:sz w:val="19"/>
          <w:szCs w:val="19"/>
        </w:rPr>
        <w:t xml:space="preserve"> ICTY, </w:t>
      </w:r>
      <w:proofErr w:type="spellStart"/>
      <w:r w:rsidRPr="004325FD">
        <w:rPr>
          <w:rFonts w:ascii="Arial" w:eastAsia="Times New Roman" w:hAnsi="Arial" w:cs="Arial"/>
          <w:i/>
          <w:iCs/>
          <w:color w:val="000000"/>
          <w:spacing w:val="3"/>
          <w:sz w:val="19"/>
          <w:szCs w:val="19"/>
        </w:rPr>
        <w:t>Karadžić</w:t>
      </w:r>
      <w:proofErr w:type="spellEnd"/>
      <w:r w:rsidRPr="004325FD">
        <w:rPr>
          <w:rFonts w:ascii="Arial" w:eastAsia="Times New Roman" w:hAnsi="Arial" w:cs="Arial"/>
          <w:i/>
          <w:iCs/>
          <w:color w:val="000000"/>
          <w:spacing w:val="3"/>
          <w:sz w:val="19"/>
          <w:szCs w:val="19"/>
        </w:rPr>
        <w:t xml:space="preserve"> and </w:t>
      </w:r>
      <w:proofErr w:type="spellStart"/>
      <w:r w:rsidRPr="004325FD">
        <w:rPr>
          <w:rFonts w:ascii="Arial" w:eastAsia="Times New Roman" w:hAnsi="Arial" w:cs="Arial"/>
          <w:i/>
          <w:iCs/>
          <w:color w:val="000000"/>
          <w:spacing w:val="3"/>
          <w:sz w:val="19"/>
          <w:szCs w:val="19"/>
        </w:rPr>
        <w:t>Mladić</w:t>
      </w:r>
      <w:proofErr w:type="spellEnd"/>
      <w:r w:rsidRPr="004325FD">
        <w:rPr>
          <w:rFonts w:ascii="Arial" w:eastAsia="Times New Roman" w:hAnsi="Arial" w:cs="Arial"/>
          <w:i/>
          <w:iCs/>
          <w:color w:val="000000"/>
          <w:spacing w:val="3"/>
          <w:sz w:val="19"/>
          <w:szCs w:val="19"/>
        </w:rPr>
        <w:t xml:space="preserve"> case</w:t>
      </w:r>
      <w:r w:rsidRPr="004325FD">
        <w:rPr>
          <w:rFonts w:ascii="Arial" w:eastAsia="Times New Roman" w:hAnsi="Arial" w:cs="Arial"/>
          <w:color w:val="000000"/>
          <w:spacing w:val="3"/>
          <w:sz w:val="19"/>
          <w:szCs w:val="19"/>
        </w:rPr>
        <w:t>, Review of the Indictments (</w:t>
      </w:r>
      <w:proofErr w:type="gramStart"/>
      <w:r w:rsidRPr="004325FD">
        <w:rPr>
          <w:rFonts w:ascii="Arial" w:eastAsia="Times New Roman" w:hAnsi="Arial" w:cs="Arial"/>
          <w:i/>
          <w:iCs/>
          <w:color w:val="000000"/>
          <w:spacing w:val="3"/>
          <w:sz w:val="19"/>
          <w:szCs w:val="19"/>
        </w:rPr>
        <w:t>ibid.</w:t>
      </w:r>
      <w:r w:rsidRPr="004325FD">
        <w:rPr>
          <w:rFonts w:ascii="Arial" w:eastAsia="Times New Roman" w:hAnsi="Arial" w:cs="Arial"/>
          <w:color w:val="000000"/>
          <w:spacing w:val="3"/>
          <w:sz w:val="19"/>
          <w:szCs w:val="19"/>
        </w:rPr>
        <w:t>,</w:t>
      </w:r>
      <w:proofErr w:type="gramEnd"/>
      <w:r w:rsidRPr="004325FD">
        <w:rPr>
          <w:rFonts w:ascii="Arial" w:eastAsia="Times New Roman" w:hAnsi="Arial" w:cs="Arial"/>
          <w:color w:val="000000"/>
          <w:spacing w:val="3"/>
          <w:sz w:val="19"/>
          <w:szCs w:val="19"/>
        </w:rPr>
        <w:t xml:space="preserve"> § 2364).</w:t>
      </w:r>
    </w:p>
    <w:p w:rsidR="002C6D61" w:rsidRDefault="004325FD"/>
    <w:sectPr w:rsidR="002C6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5FD"/>
    <w:rsid w:val="003F0C67"/>
    <w:rsid w:val="004325FD"/>
    <w:rsid w:val="009828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94657">
      <w:bodyDiv w:val="1"/>
      <w:marLeft w:val="0"/>
      <w:marRight w:val="0"/>
      <w:marTop w:val="0"/>
      <w:marBottom w:val="0"/>
      <w:divBdr>
        <w:top w:val="none" w:sz="0" w:space="0" w:color="auto"/>
        <w:left w:val="none" w:sz="0" w:space="0" w:color="auto"/>
        <w:bottom w:val="none" w:sz="0" w:space="0" w:color="auto"/>
        <w:right w:val="none" w:sz="0" w:space="0" w:color="auto"/>
      </w:divBdr>
      <w:divsChild>
        <w:div w:id="1172068909">
          <w:marLeft w:val="0"/>
          <w:marRight w:val="0"/>
          <w:marTop w:val="150"/>
          <w:marBottom w:val="0"/>
          <w:divBdr>
            <w:top w:val="none" w:sz="0" w:space="0" w:color="auto"/>
            <w:left w:val="none" w:sz="0" w:space="0" w:color="auto"/>
            <w:bottom w:val="none" w:sz="0" w:space="0" w:color="auto"/>
            <w:right w:val="none" w:sz="0" w:space="0" w:color="auto"/>
          </w:divBdr>
          <w:divsChild>
            <w:div w:id="451362562">
              <w:marLeft w:val="0"/>
              <w:marRight w:val="0"/>
              <w:marTop w:val="0"/>
              <w:marBottom w:val="0"/>
              <w:divBdr>
                <w:top w:val="none" w:sz="0" w:space="0" w:color="auto"/>
                <w:left w:val="none" w:sz="0" w:space="0" w:color="auto"/>
                <w:bottom w:val="none" w:sz="0" w:space="0" w:color="auto"/>
                <w:right w:val="none" w:sz="0" w:space="0" w:color="auto"/>
              </w:divBdr>
            </w:div>
            <w:div w:id="1243563334">
              <w:marLeft w:val="0"/>
              <w:marRight w:val="0"/>
              <w:marTop w:val="0"/>
              <w:marBottom w:val="0"/>
              <w:divBdr>
                <w:top w:val="none" w:sz="0" w:space="0" w:color="auto"/>
                <w:left w:val="none" w:sz="0" w:space="0" w:color="auto"/>
                <w:bottom w:val="none" w:sz="0" w:space="0" w:color="auto"/>
                <w:right w:val="none" w:sz="0" w:space="0" w:color="auto"/>
              </w:divBdr>
            </w:div>
            <w:div w:id="539632394">
              <w:marLeft w:val="0"/>
              <w:marRight w:val="0"/>
              <w:marTop w:val="0"/>
              <w:marBottom w:val="0"/>
              <w:divBdr>
                <w:top w:val="none" w:sz="0" w:space="0" w:color="auto"/>
                <w:left w:val="none" w:sz="0" w:space="0" w:color="auto"/>
                <w:bottom w:val="none" w:sz="0" w:space="0" w:color="auto"/>
                <w:right w:val="none" w:sz="0" w:space="0" w:color="auto"/>
              </w:divBdr>
            </w:div>
            <w:div w:id="932206864">
              <w:marLeft w:val="0"/>
              <w:marRight w:val="0"/>
              <w:marTop w:val="0"/>
              <w:marBottom w:val="0"/>
              <w:divBdr>
                <w:top w:val="none" w:sz="0" w:space="0" w:color="auto"/>
                <w:left w:val="none" w:sz="0" w:space="0" w:color="auto"/>
                <w:bottom w:val="none" w:sz="0" w:space="0" w:color="auto"/>
                <w:right w:val="none" w:sz="0" w:space="0" w:color="auto"/>
              </w:divBdr>
            </w:div>
            <w:div w:id="1757437216">
              <w:marLeft w:val="0"/>
              <w:marRight w:val="0"/>
              <w:marTop w:val="0"/>
              <w:marBottom w:val="0"/>
              <w:divBdr>
                <w:top w:val="none" w:sz="0" w:space="0" w:color="auto"/>
                <w:left w:val="none" w:sz="0" w:space="0" w:color="auto"/>
                <w:bottom w:val="none" w:sz="0" w:space="0" w:color="auto"/>
                <w:right w:val="none" w:sz="0" w:space="0" w:color="auto"/>
              </w:divBdr>
            </w:div>
            <w:div w:id="845821744">
              <w:marLeft w:val="0"/>
              <w:marRight w:val="0"/>
              <w:marTop w:val="0"/>
              <w:marBottom w:val="0"/>
              <w:divBdr>
                <w:top w:val="none" w:sz="0" w:space="0" w:color="auto"/>
                <w:left w:val="none" w:sz="0" w:space="0" w:color="auto"/>
                <w:bottom w:val="none" w:sz="0" w:space="0" w:color="auto"/>
                <w:right w:val="none" w:sz="0" w:space="0" w:color="auto"/>
              </w:divBdr>
            </w:div>
            <w:div w:id="1030105416">
              <w:marLeft w:val="0"/>
              <w:marRight w:val="0"/>
              <w:marTop w:val="0"/>
              <w:marBottom w:val="0"/>
              <w:divBdr>
                <w:top w:val="none" w:sz="0" w:space="0" w:color="auto"/>
                <w:left w:val="none" w:sz="0" w:space="0" w:color="auto"/>
                <w:bottom w:val="none" w:sz="0" w:space="0" w:color="auto"/>
                <w:right w:val="none" w:sz="0" w:space="0" w:color="auto"/>
              </w:divBdr>
            </w:div>
            <w:div w:id="1303579786">
              <w:marLeft w:val="0"/>
              <w:marRight w:val="0"/>
              <w:marTop w:val="0"/>
              <w:marBottom w:val="0"/>
              <w:divBdr>
                <w:top w:val="none" w:sz="0" w:space="0" w:color="auto"/>
                <w:left w:val="none" w:sz="0" w:space="0" w:color="auto"/>
                <w:bottom w:val="none" w:sz="0" w:space="0" w:color="auto"/>
                <w:right w:val="none" w:sz="0" w:space="0" w:color="auto"/>
              </w:divBdr>
            </w:div>
            <w:div w:id="68891899">
              <w:marLeft w:val="0"/>
              <w:marRight w:val="0"/>
              <w:marTop w:val="0"/>
              <w:marBottom w:val="0"/>
              <w:divBdr>
                <w:top w:val="none" w:sz="0" w:space="0" w:color="auto"/>
                <w:left w:val="none" w:sz="0" w:space="0" w:color="auto"/>
                <w:bottom w:val="none" w:sz="0" w:space="0" w:color="auto"/>
                <w:right w:val="none" w:sz="0" w:space="0" w:color="auto"/>
              </w:divBdr>
            </w:div>
            <w:div w:id="580456823">
              <w:marLeft w:val="0"/>
              <w:marRight w:val="0"/>
              <w:marTop w:val="0"/>
              <w:marBottom w:val="0"/>
              <w:divBdr>
                <w:top w:val="none" w:sz="0" w:space="0" w:color="auto"/>
                <w:left w:val="none" w:sz="0" w:space="0" w:color="auto"/>
                <w:bottom w:val="none" w:sz="0" w:space="0" w:color="auto"/>
                <w:right w:val="none" w:sz="0" w:space="0" w:color="auto"/>
              </w:divBdr>
            </w:div>
            <w:div w:id="239949319">
              <w:marLeft w:val="0"/>
              <w:marRight w:val="0"/>
              <w:marTop w:val="0"/>
              <w:marBottom w:val="0"/>
              <w:divBdr>
                <w:top w:val="none" w:sz="0" w:space="0" w:color="auto"/>
                <w:left w:val="none" w:sz="0" w:space="0" w:color="auto"/>
                <w:bottom w:val="none" w:sz="0" w:space="0" w:color="auto"/>
                <w:right w:val="none" w:sz="0" w:space="0" w:color="auto"/>
              </w:divBdr>
            </w:div>
            <w:div w:id="1762264027">
              <w:marLeft w:val="0"/>
              <w:marRight w:val="0"/>
              <w:marTop w:val="0"/>
              <w:marBottom w:val="0"/>
              <w:divBdr>
                <w:top w:val="none" w:sz="0" w:space="0" w:color="auto"/>
                <w:left w:val="none" w:sz="0" w:space="0" w:color="auto"/>
                <w:bottom w:val="none" w:sz="0" w:space="0" w:color="auto"/>
                <w:right w:val="none" w:sz="0" w:space="0" w:color="auto"/>
              </w:divBdr>
            </w:div>
            <w:div w:id="1865555831">
              <w:marLeft w:val="0"/>
              <w:marRight w:val="0"/>
              <w:marTop w:val="0"/>
              <w:marBottom w:val="0"/>
              <w:divBdr>
                <w:top w:val="none" w:sz="0" w:space="0" w:color="auto"/>
                <w:left w:val="none" w:sz="0" w:space="0" w:color="auto"/>
                <w:bottom w:val="none" w:sz="0" w:space="0" w:color="auto"/>
                <w:right w:val="none" w:sz="0" w:space="0" w:color="auto"/>
              </w:divBdr>
            </w:div>
            <w:div w:id="447621955">
              <w:marLeft w:val="0"/>
              <w:marRight w:val="0"/>
              <w:marTop w:val="0"/>
              <w:marBottom w:val="0"/>
              <w:divBdr>
                <w:top w:val="none" w:sz="0" w:space="0" w:color="auto"/>
                <w:left w:val="none" w:sz="0" w:space="0" w:color="auto"/>
                <w:bottom w:val="none" w:sz="0" w:space="0" w:color="auto"/>
                <w:right w:val="none" w:sz="0" w:space="0" w:color="auto"/>
              </w:divBdr>
            </w:div>
            <w:div w:id="1106467264">
              <w:marLeft w:val="0"/>
              <w:marRight w:val="0"/>
              <w:marTop w:val="0"/>
              <w:marBottom w:val="0"/>
              <w:divBdr>
                <w:top w:val="none" w:sz="0" w:space="0" w:color="auto"/>
                <w:left w:val="none" w:sz="0" w:space="0" w:color="auto"/>
                <w:bottom w:val="none" w:sz="0" w:space="0" w:color="auto"/>
                <w:right w:val="none" w:sz="0" w:space="0" w:color="auto"/>
              </w:divBdr>
            </w:div>
            <w:div w:id="977567475">
              <w:marLeft w:val="0"/>
              <w:marRight w:val="0"/>
              <w:marTop w:val="0"/>
              <w:marBottom w:val="0"/>
              <w:divBdr>
                <w:top w:val="none" w:sz="0" w:space="0" w:color="auto"/>
                <w:left w:val="none" w:sz="0" w:space="0" w:color="auto"/>
                <w:bottom w:val="none" w:sz="0" w:space="0" w:color="auto"/>
                <w:right w:val="none" w:sz="0" w:space="0" w:color="auto"/>
              </w:divBdr>
            </w:div>
            <w:div w:id="1461147252">
              <w:marLeft w:val="0"/>
              <w:marRight w:val="0"/>
              <w:marTop w:val="0"/>
              <w:marBottom w:val="0"/>
              <w:divBdr>
                <w:top w:val="none" w:sz="0" w:space="0" w:color="auto"/>
                <w:left w:val="none" w:sz="0" w:space="0" w:color="auto"/>
                <w:bottom w:val="none" w:sz="0" w:space="0" w:color="auto"/>
                <w:right w:val="none" w:sz="0" w:space="0" w:color="auto"/>
              </w:divBdr>
            </w:div>
            <w:div w:id="1198664836">
              <w:marLeft w:val="0"/>
              <w:marRight w:val="0"/>
              <w:marTop w:val="0"/>
              <w:marBottom w:val="0"/>
              <w:divBdr>
                <w:top w:val="none" w:sz="0" w:space="0" w:color="auto"/>
                <w:left w:val="none" w:sz="0" w:space="0" w:color="auto"/>
                <w:bottom w:val="none" w:sz="0" w:space="0" w:color="auto"/>
                <w:right w:val="none" w:sz="0" w:space="0" w:color="auto"/>
              </w:divBdr>
            </w:div>
            <w:div w:id="1486824268">
              <w:marLeft w:val="0"/>
              <w:marRight w:val="0"/>
              <w:marTop w:val="0"/>
              <w:marBottom w:val="0"/>
              <w:divBdr>
                <w:top w:val="none" w:sz="0" w:space="0" w:color="auto"/>
                <w:left w:val="none" w:sz="0" w:space="0" w:color="auto"/>
                <w:bottom w:val="none" w:sz="0" w:space="0" w:color="auto"/>
                <w:right w:val="none" w:sz="0" w:space="0" w:color="auto"/>
              </w:divBdr>
            </w:div>
            <w:div w:id="767039123">
              <w:marLeft w:val="0"/>
              <w:marRight w:val="0"/>
              <w:marTop w:val="0"/>
              <w:marBottom w:val="0"/>
              <w:divBdr>
                <w:top w:val="none" w:sz="0" w:space="0" w:color="auto"/>
                <w:left w:val="none" w:sz="0" w:space="0" w:color="auto"/>
                <w:bottom w:val="none" w:sz="0" w:space="0" w:color="auto"/>
                <w:right w:val="none" w:sz="0" w:space="0" w:color="auto"/>
              </w:divBdr>
            </w:div>
            <w:div w:id="49574145">
              <w:marLeft w:val="0"/>
              <w:marRight w:val="0"/>
              <w:marTop w:val="0"/>
              <w:marBottom w:val="0"/>
              <w:divBdr>
                <w:top w:val="none" w:sz="0" w:space="0" w:color="auto"/>
                <w:left w:val="none" w:sz="0" w:space="0" w:color="auto"/>
                <w:bottom w:val="none" w:sz="0" w:space="0" w:color="auto"/>
                <w:right w:val="none" w:sz="0" w:space="0" w:color="auto"/>
              </w:divBdr>
            </w:div>
            <w:div w:id="128045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2364</Words>
  <Characters>13477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1</cp:revision>
  <dcterms:created xsi:type="dcterms:W3CDTF">2015-05-10T02:11:00Z</dcterms:created>
  <dcterms:modified xsi:type="dcterms:W3CDTF">2015-05-10T02:12:00Z</dcterms:modified>
</cp:coreProperties>
</file>