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A8A" w:rsidRPr="00142A8A" w:rsidRDefault="00142A8A" w:rsidP="00A73472">
      <w:pPr>
        <w:spacing w:before="100" w:beforeAutospacing="1" w:after="100" w:afterAutospacing="1" w:line="240" w:lineRule="auto"/>
        <w:outlineLvl w:val="2"/>
        <w:rPr>
          <w:rFonts w:ascii="Times New Roman" w:eastAsia="Times New Roman" w:hAnsi="Times New Roman" w:cs="Times New Roman"/>
          <w:bCs/>
          <w:sz w:val="44"/>
          <w:szCs w:val="44"/>
        </w:rPr>
      </w:pPr>
      <w:r w:rsidRPr="00142A8A">
        <w:rPr>
          <w:rFonts w:ascii="Times New Roman" w:eastAsia="Times New Roman" w:hAnsi="Times New Roman" w:cs="Times New Roman"/>
          <w:bCs/>
          <w:sz w:val="44"/>
          <w:szCs w:val="44"/>
        </w:rPr>
        <w:t>Press Releases</w:t>
      </w:r>
      <w:r w:rsidR="00A73472" w:rsidRPr="00A73472">
        <w:rPr>
          <w:rFonts w:ascii="Times New Roman" w:eastAsia="Times New Roman" w:hAnsi="Times New Roman" w:cs="Times New Roman"/>
          <w:bCs/>
          <w:sz w:val="44"/>
          <w:szCs w:val="44"/>
        </w:rPr>
        <w:t xml:space="preserve">: </w:t>
      </w:r>
      <w:r w:rsidRPr="00142A8A">
        <w:rPr>
          <w:rFonts w:ascii="Times New Roman" w:eastAsia="Times New Roman" w:hAnsi="Times New Roman" w:cs="Times New Roman"/>
          <w:bCs/>
          <w:sz w:val="44"/>
          <w:szCs w:val="44"/>
        </w:rPr>
        <w:t>Palestinian Human Rights Organizations Council (PHROC) statement on BDS movement</w:t>
      </w:r>
    </w:p>
    <w:p w:rsidR="00142A8A" w:rsidRPr="00A73472" w:rsidRDefault="00142A8A" w:rsidP="00142A8A">
      <w:pPr>
        <w:spacing w:after="0" w:line="240" w:lineRule="auto"/>
        <w:rPr>
          <w:rFonts w:ascii="Times New Roman" w:eastAsia="Times New Roman" w:hAnsi="Times New Roman" w:cs="Times New Roman"/>
          <w:sz w:val="24"/>
          <w:szCs w:val="24"/>
        </w:rPr>
      </w:pPr>
      <w:r w:rsidRPr="00A73472">
        <w:rPr>
          <w:rFonts w:ascii="Times New Roman" w:eastAsia="Times New Roman" w:hAnsi="Times New Roman" w:cs="Times New Roman"/>
          <w:sz w:val="24"/>
          <w:szCs w:val="24"/>
        </w:rPr>
        <w:t xml:space="preserve">February 8, 2016 </w:t>
      </w:r>
    </w:p>
    <w:p w:rsidR="00142A8A" w:rsidRPr="00A73472" w:rsidRDefault="00142A8A" w:rsidP="00142A8A">
      <w:pPr>
        <w:spacing w:after="0" w:line="240" w:lineRule="auto"/>
        <w:rPr>
          <w:rFonts w:ascii="Times New Roman" w:hAnsi="Times New Roman" w:cs="Times New Roman"/>
          <w:sz w:val="24"/>
          <w:szCs w:val="24"/>
        </w:rPr>
      </w:pPr>
      <w:r w:rsidRPr="00A73472">
        <w:rPr>
          <w:rFonts w:ascii="Times New Roman" w:hAnsi="Times New Roman" w:cs="Times New Roman"/>
          <w:sz w:val="24"/>
          <w:szCs w:val="24"/>
        </w:rPr>
        <w:t xml:space="preserve">Al </w:t>
      </w:r>
      <w:proofErr w:type="spellStart"/>
      <w:r w:rsidRPr="00A73472">
        <w:rPr>
          <w:rFonts w:ascii="Times New Roman" w:hAnsi="Times New Roman" w:cs="Times New Roman"/>
          <w:sz w:val="24"/>
          <w:szCs w:val="24"/>
        </w:rPr>
        <w:t>Mezan</w:t>
      </w:r>
      <w:proofErr w:type="spellEnd"/>
      <w:r w:rsidRPr="00A73472">
        <w:rPr>
          <w:rFonts w:ascii="Times New Roman" w:hAnsi="Times New Roman" w:cs="Times New Roman"/>
          <w:sz w:val="24"/>
          <w:szCs w:val="24"/>
        </w:rPr>
        <w:t xml:space="preserve"> Center For Human Rights</w:t>
      </w:r>
    </w:p>
    <w:p w:rsidR="00142A8A" w:rsidRPr="00142A8A" w:rsidRDefault="00142A8A" w:rsidP="00142A8A">
      <w:pPr>
        <w:spacing w:after="0" w:line="240" w:lineRule="auto"/>
        <w:rPr>
          <w:rFonts w:ascii="Times New Roman" w:eastAsia="Times New Roman" w:hAnsi="Times New Roman" w:cs="Times New Roman"/>
          <w:sz w:val="24"/>
          <w:szCs w:val="24"/>
        </w:rPr>
      </w:pPr>
      <w:hyperlink r:id="rId4" w:history="1">
        <w:r w:rsidRPr="00A73472">
          <w:rPr>
            <w:rFonts w:ascii="Times New Roman" w:eastAsia="Times New Roman" w:hAnsi="Times New Roman" w:cs="Times New Roman"/>
            <w:sz w:val="24"/>
            <w:szCs w:val="24"/>
            <w:u w:val="single"/>
          </w:rPr>
          <w:t>http://www.mezan.org/en/post/21170</w:t>
        </w:r>
      </w:hyperlink>
      <w:r w:rsidRPr="00142A8A">
        <w:rPr>
          <w:rFonts w:ascii="Times New Roman" w:eastAsia="Times New Roman" w:hAnsi="Times New Roman" w:cs="Times New Roman"/>
          <w:sz w:val="24"/>
          <w:szCs w:val="24"/>
        </w:rPr>
        <w:t xml:space="preserve"> </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For decades, Israel has failed to uphold its duties as Occupying Power and has instead deepened its occupation and regime of colonialism and apartheid. Human rights violations rising to the level of international crimes, including unlawful killings, torture, forced transfer, and other forms of collective punishment have become the norm. Rather than uphold their responsibilities under international law and take measures to hold Israel accountable, third states have largely turned a blind eye.</w:t>
      </w:r>
      <w:bookmarkStart w:id="0" w:name="_GoBack"/>
      <w:bookmarkEnd w:id="0"/>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Although world governments and international and regional bodies, like the United Nations and the European Union, still lack the political will to hold Israel accountable, the Boycott, Divestment, and Sanctions (BDS) movement has grown to provide an important nonviolent counter-narrative and alternative for achieving the enjoyment and exercise of freedom, dignity, and justice for Palestinians.</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 xml:space="preserve">The 2005 BDS </w:t>
      </w:r>
      <w:hyperlink r:id="rId5" w:history="1">
        <w:r w:rsidRPr="00A73472">
          <w:rPr>
            <w:rFonts w:ascii="Times New Roman" w:eastAsia="Times New Roman" w:hAnsi="Times New Roman" w:cs="Times New Roman"/>
            <w:sz w:val="24"/>
            <w:szCs w:val="24"/>
            <w:u w:val="single"/>
          </w:rPr>
          <w:t>call</w:t>
        </w:r>
      </w:hyperlink>
      <w:r w:rsidRPr="00142A8A">
        <w:rPr>
          <w:rFonts w:ascii="Times New Roman" w:eastAsia="Times New Roman" w:hAnsi="Times New Roman" w:cs="Times New Roman"/>
          <w:sz w:val="24"/>
          <w:szCs w:val="24"/>
        </w:rPr>
        <w:t>, issued by Palestinian civil society, and the Palestinian BDS National Committee (BNC), which leads the global movement, both affirm that BDS is inclusive, rejects all forms of racism and discrimination, and does not target any person or entity based on their respective identity. Rather, the movement targets Israel’s occupation and oppression of Palestinians. Corporations and institutions that aid, abet, or profit from Israel’s denial of Palestinian rights also fall within the purview of the movement. </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As the impact of BDS grows, so too do efforts by Israel,</w:t>
      </w:r>
      <w:proofErr w:type="gramStart"/>
      <w:r w:rsidRPr="00142A8A">
        <w:rPr>
          <w:rFonts w:ascii="Times New Roman" w:eastAsia="Times New Roman" w:hAnsi="Times New Roman" w:cs="Times New Roman"/>
          <w:sz w:val="24"/>
          <w:szCs w:val="24"/>
        </w:rPr>
        <w:t>  its</w:t>
      </w:r>
      <w:proofErr w:type="gramEnd"/>
      <w:r w:rsidRPr="00142A8A">
        <w:rPr>
          <w:rFonts w:ascii="Times New Roman" w:eastAsia="Times New Roman" w:hAnsi="Times New Roman" w:cs="Times New Roman"/>
          <w:sz w:val="24"/>
          <w:szCs w:val="24"/>
        </w:rPr>
        <w:t xml:space="preserve"> lobby groups, and supporters to vilify, smear, and attempt to criminalize the movement. Many attempt to falsely associate the nonviolent</w:t>
      </w:r>
      <w:proofErr w:type="gramStart"/>
      <w:r w:rsidRPr="00142A8A">
        <w:rPr>
          <w:rFonts w:ascii="Times New Roman" w:eastAsia="Times New Roman" w:hAnsi="Times New Roman" w:cs="Times New Roman"/>
          <w:sz w:val="24"/>
          <w:szCs w:val="24"/>
        </w:rPr>
        <w:t>  movement</w:t>
      </w:r>
      <w:proofErr w:type="gramEnd"/>
      <w:r w:rsidRPr="00142A8A">
        <w:rPr>
          <w:rFonts w:ascii="Times New Roman" w:eastAsia="Times New Roman" w:hAnsi="Times New Roman" w:cs="Times New Roman"/>
          <w:sz w:val="24"/>
          <w:szCs w:val="24"/>
        </w:rPr>
        <w:t xml:space="preserve"> with discrimination or anti-Semitism; such claims are not only baseless, but also unjustly trample on the rights to freedom of expression and protest, amongst others. </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Accordingly, it has become imperative for the Palestinian Human Rights Organizations Council (PHROC) to reiterate the universality of these human rights. PHROC affirms the right of all individuals to participate in and advocate for boycott, divestment, and sanction actions, and calls on states and businesses to uphold their related legal responsibilities.</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A73472">
        <w:rPr>
          <w:rFonts w:ascii="Times New Roman" w:eastAsia="Times New Roman" w:hAnsi="Times New Roman" w:cs="Times New Roman"/>
          <w:i/>
          <w:iCs/>
          <w:sz w:val="24"/>
          <w:szCs w:val="24"/>
        </w:rPr>
        <w:t>The Right to BDS</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International human rights law supports the right to call for and participate in BDS actions. The International Covenant on Civil and Political Rights (ICCPR) affirms the right to hold opinions without interference and the right to freedom of expression.</w:t>
      </w:r>
      <w:bookmarkStart w:id="1" w:name="_ftnref1"/>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"_ftn1"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vertAlign w:val="superscript"/>
        </w:rPr>
        <w:t>[1]</w:t>
      </w:r>
      <w:r w:rsidRPr="00142A8A">
        <w:rPr>
          <w:rFonts w:ascii="Times New Roman" w:eastAsia="Times New Roman" w:hAnsi="Times New Roman" w:cs="Times New Roman"/>
          <w:sz w:val="24"/>
          <w:szCs w:val="24"/>
        </w:rPr>
        <w:fldChar w:fldCharType="end"/>
      </w:r>
      <w:bookmarkEnd w:id="1"/>
      <w:r w:rsidRPr="00142A8A">
        <w:rPr>
          <w:rFonts w:ascii="Times New Roman" w:eastAsia="Times New Roman" w:hAnsi="Times New Roman" w:cs="Times New Roman"/>
          <w:sz w:val="24"/>
          <w:szCs w:val="24"/>
        </w:rPr>
        <w:t xml:space="preserve"> These rights are interrelated and are the foundation of other rights, including the rights to freedom of assembly and association.</w:t>
      </w:r>
      <w:bookmarkStart w:id="2" w:name="_ftnref2"/>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"_ftn2"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vertAlign w:val="superscript"/>
        </w:rPr>
        <w:t>[2]</w:t>
      </w:r>
      <w:r w:rsidRPr="00142A8A">
        <w:rPr>
          <w:rFonts w:ascii="Times New Roman" w:eastAsia="Times New Roman" w:hAnsi="Times New Roman" w:cs="Times New Roman"/>
          <w:sz w:val="24"/>
          <w:szCs w:val="24"/>
        </w:rPr>
        <w:fldChar w:fldCharType="end"/>
      </w:r>
      <w:bookmarkEnd w:id="2"/>
      <w:r w:rsidRPr="00142A8A">
        <w:rPr>
          <w:rFonts w:ascii="Times New Roman" w:eastAsia="Times New Roman" w:hAnsi="Times New Roman" w:cs="Times New Roman"/>
          <w:sz w:val="24"/>
          <w:szCs w:val="24"/>
        </w:rPr>
        <w:t xml:space="preserve"> </w:t>
      </w:r>
      <w:r w:rsidRPr="00142A8A">
        <w:rPr>
          <w:rFonts w:ascii="Times New Roman" w:eastAsia="Times New Roman" w:hAnsi="Times New Roman" w:cs="Times New Roman"/>
          <w:sz w:val="24"/>
          <w:szCs w:val="24"/>
        </w:rPr>
        <w:lastRenderedPageBreak/>
        <w:t>Accordingly, the Human Rights Committee has affirmed that the holding of an opinion should not be criminalized.</w:t>
      </w:r>
      <w:bookmarkStart w:id="3" w:name="_ftnref3"/>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"_ftn3"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vertAlign w:val="superscript"/>
        </w:rPr>
        <w:t>[3]</w:t>
      </w:r>
      <w:r w:rsidRPr="00142A8A">
        <w:rPr>
          <w:rFonts w:ascii="Times New Roman" w:eastAsia="Times New Roman" w:hAnsi="Times New Roman" w:cs="Times New Roman"/>
          <w:sz w:val="24"/>
          <w:szCs w:val="24"/>
        </w:rPr>
        <w:fldChar w:fldCharType="end"/>
      </w:r>
      <w:bookmarkEnd w:id="3"/>
      <w:r w:rsidRPr="00142A8A">
        <w:rPr>
          <w:rFonts w:ascii="Times New Roman" w:eastAsia="Times New Roman" w:hAnsi="Times New Roman" w:cs="Times New Roman"/>
          <w:sz w:val="24"/>
          <w:szCs w:val="24"/>
        </w:rPr>
        <w:t xml:space="preserve"> While freedom of expression may be subject to restriction, the call for BDS does not fall within the narrow limitation outlined in the ICCPR. Indeed, the UN Special Rapporteur on the promotion and protection of the right to freedom of opinion and expression has stated “Calling for or participating in a boycott is a form of expression that is peaceful, legitimate and internationally accepted.”</w:t>
      </w:r>
      <w:bookmarkStart w:id="4" w:name="_ftnref4"/>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"_ftn4"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[4]</w:t>
      </w:r>
      <w:r w:rsidRPr="00142A8A">
        <w:rPr>
          <w:rFonts w:ascii="Times New Roman" w:eastAsia="Times New Roman" w:hAnsi="Times New Roman" w:cs="Times New Roman"/>
          <w:sz w:val="24"/>
          <w:szCs w:val="24"/>
        </w:rPr>
        <w:fldChar w:fldCharType="end"/>
      </w:r>
      <w:bookmarkEnd w:id="4"/>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PHROC reminds states, including their legislatures, that many members of the international community have had experiences with boycott, divestment, and sanction measures in the development of their own political systems and have also participated in such measures via the United Nations. BDS actions against apartheid South Africa are perhaps amongst the most memorable and prominent.   </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PHROC stresses that repressive attacks against and attempts to criminalize the BDS movement are similar in nature to assaults against human rights defenders worldwide. Such attacks often aim to chill free speech and delegitimize the activities of human rights defenders in order to detract from genuine situations of abuse.</w:t>
      </w:r>
      <w:bookmarkStart w:id="5" w:name="_ftnref5"/>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"_ftn5"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[5]</w:t>
      </w:r>
      <w:r w:rsidRPr="00142A8A">
        <w:rPr>
          <w:rFonts w:ascii="Times New Roman" w:eastAsia="Times New Roman" w:hAnsi="Times New Roman" w:cs="Times New Roman"/>
          <w:sz w:val="24"/>
          <w:szCs w:val="24"/>
        </w:rPr>
        <w:fldChar w:fldCharType="end"/>
      </w:r>
      <w:bookmarkEnd w:id="5"/>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A73472">
        <w:rPr>
          <w:rFonts w:ascii="Times New Roman" w:eastAsia="Times New Roman" w:hAnsi="Times New Roman" w:cs="Times New Roman"/>
          <w:i/>
          <w:iCs/>
          <w:sz w:val="24"/>
          <w:szCs w:val="24"/>
        </w:rPr>
        <w:t>State responsibility</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Following the European Commission’s issuance of its “</w:t>
      </w:r>
      <w:hyperlink r:id="rId6" w:history="1">
        <w:r w:rsidRPr="00A73472">
          <w:rPr>
            <w:rFonts w:ascii="Times New Roman" w:eastAsia="Times New Roman" w:hAnsi="Times New Roman" w:cs="Times New Roman"/>
            <w:sz w:val="24"/>
            <w:szCs w:val="24"/>
            <w:u w:val="single"/>
          </w:rPr>
          <w:t>Interpretive notice on indication of origin of goods from territories occupied by Israel since June 1967</w:t>
        </w:r>
      </w:hyperlink>
      <w:r w:rsidRPr="00142A8A">
        <w:rPr>
          <w:rFonts w:ascii="Times New Roman" w:eastAsia="Times New Roman" w:hAnsi="Times New Roman" w:cs="Times New Roman"/>
          <w:sz w:val="24"/>
          <w:szCs w:val="24"/>
        </w:rPr>
        <w:t xml:space="preserve">” in November 2015, PHROC issued a </w:t>
      </w:r>
      <w:hyperlink r:id="rId7" w:history="1">
        <w:r w:rsidRPr="00A73472">
          <w:rPr>
            <w:rFonts w:ascii="Times New Roman" w:eastAsia="Times New Roman" w:hAnsi="Times New Roman" w:cs="Times New Roman"/>
            <w:sz w:val="24"/>
            <w:szCs w:val="24"/>
            <w:u w:val="single"/>
          </w:rPr>
          <w:t>statement</w:t>
        </w:r>
      </w:hyperlink>
      <w:r w:rsidRPr="00142A8A">
        <w:rPr>
          <w:rFonts w:ascii="Times New Roman" w:eastAsia="Times New Roman" w:hAnsi="Times New Roman" w:cs="Times New Roman"/>
          <w:sz w:val="24"/>
          <w:szCs w:val="24"/>
        </w:rPr>
        <w:t xml:space="preserve"> welcoming the EU’s labeling of settlement products while noting that labeling was insufficient. PHROC again affirms that neither labeling requirements issued by states nor the presence of boycott movements initiated by civil society relieve states of their legal obligation to ban Israeli settlement products from entering their domestic markets.</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Under customary international law and as affirmed by the 2004 advisory opinion of the International Court of Justice, in cases of breaches of peremptory norms of international law, all States are under an obligation not to recognize the situation as lawful, not to render aid or assistance in maintaining the illegal situation, and to actively cooperate to bring violations to an end.</w:t>
      </w:r>
      <w:bookmarkStart w:id="6" w:name="_ftnref6"/>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"_ftn6"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[6]</w:t>
      </w:r>
      <w:r w:rsidRPr="00142A8A">
        <w:rPr>
          <w:rFonts w:ascii="Times New Roman" w:eastAsia="Times New Roman" w:hAnsi="Times New Roman" w:cs="Times New Roman"/>
          <w:sz w:val="24"/>
          <w:szCs w:val="24"/>
        </w:rPr>
        <w:fldChar w:fldCharType="end"/>
      </w:r>
      <w:bookmarkEnd w:id="6"/>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If third states do not uphold these and other responsibilities under international law and ensure that Israel is held accountable for its violations of Palestinian human rights, governments should not be surprised if civil society takes peaceful, legal actions to end impunity. Accordingly, states should not prohibit or attempt to limit civil society and human rights defenders from initiating BDS measures against Israel and the corporations and institutions that are implicated in the denial of Palestinian human rights. It is also within the right of corporations and institutions to choose to disengage from activities related to the occupation and/or participate in BDS measures.</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PHROC implores the international community to impartially uphold their legal responsibilities,</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proofErr w:type="gramStart"/>
      <w:r w:rsidRPr="00142A8A">
        <w:rPr>
          <w:rFonts w:ascii="Times New Roman" w:eastAsia="Times New Roman" w:hAnsi="Times New Roman" w:cs="Times New Roman"/>
          <w:sz w:val="24"/>
          <w:szCs w:val="24"/>
        </w:rPr>
        <w:t>including</w:t>
      </w:r>
      <w:proofErr w:type="gramEnd"/>
      <w:r w:rsidRPr="00142A8A">
        <w:rPr>
          <w:rFonts w:ascii="Times New Roman" w:eastAsia="Times New Roman" w:hAnsi="Times New Roman" w:cs="Times New Roman"/>
          <w:sz w:val="24"/>
          <w:szCs w:val="24"/>
        </w:rPr>
        <w:t xml:space="preserve"> by defending against illegitimate attacks against individuals, groups, and institutions involved in BDS, and to hold Israel accountable for its violations of international human rights and international humanitarian law. PHROC further calls on international human rights </w:t>
      </w:r>
      <w:r w:rsidRPr="00142A8A">
        <w:rPr>
          <w:rFonts w:ascii="Times New Roman" w:eastAsia="Times New Roman" w:hAnsi="Times New Roman" w:cs="Times New Roman"/>
          <w:sz w:val="24"/>
          <w:szCs w:val="24"/>
        </w:rPr>
        <w:lastRenderedPageBreak/>
        <w:t>organizations to stand with the right to engage in boycott, divestment and sanctions against any state, corporation or entity that is violating international law.</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A73472">
        <w:rPr>
          <w:rFonts w:ascii="Times New Roman" w:eastAsia="Times New Roman" w:hAnsi="Times New Roman" w:cs="Times New Roman"/>
          <w:bCs/>
          <w:sz w:val="24"/>
          <w:szCs w:val="24"/>
        </w:rPr>
        <w:t>-End-</w:t>
      </w:r>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 </w:t>
      </w:r>
    </w:p>
    <w:bookmarkStart w:id="7" w:name="_ftn1"/>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"_ftnref1"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[1]</w:t>
      </w:r>
      <w:r w:rsidRPr="00142A8A">
        <w:rPr>
          <w:rFonts w:ascii="Times New Roman" w:eastAsia="Times New Roman" w:hAnsi="Times New Roman" w:cs="Times New Roman"/>
          <w:sz w:val="24"/>
          <w:szCs w:val="24"/>
        </w:rPr>
        <w:fldChar w:fldCharType="end"/>
      </w:r>
      <w:bookmarkEnd w:id="7"/>
      <w:r w:rsidRPr="00142A8A">
        <w:rPr>
          <w:rFonts w:ascii="Times New Roman" w:eastAsia="Times New Roman" w:hAnsi="Times New Roman" w:cs="Times New Roman"/>
          <w:sz w:val="24"/>
          <w:szCs w:val="24"/>
        </w:rPr>
        <w:t xml:space="preserve"> Article 19 of the ICCPR</w:t>
      </w:r>
    </w:p>
    <w:bookmarkStart w:id="8" w:name="_ftn2"/>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"_ftnref2"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[2]</w:t>
      </w:r>
      <w:r w:rsidRPr="00142A8A">
        <w:rPr>
          <w:rFonts w:ascii="Times New Roman" w:eastAsia="Times New Roman" w:hAnsi="Times New Roman" w:cs="Times New Roman"/>
          <w:sz w:val="24"/>
          <w:szCs w:val="24"/>
        </w:rPr>
        <w:fldChar w:fldCharType="end"/>
      </w:r>
      <w:bookmarkEnd w:id="8"/>
      <w:r w:rsidRPr="00142A8A">
        <w:rPr>
          <w:rFonts w:ascii="Times New Roman" w:eastAsia="Times New Roman" w:hAnsi="Times New Roman" w:cs="Times New Roman"/>
          <w:sz w:val="24"/>
          <w:szCs w:val="24"/>
        </w:rPr>
        <w:t xml:space="preserve"> Human Rights Committee, General comment No. 34, Article 19: Freedoms of opinion and expression, 12 September 2011, CCPR/C/GC/34, Para. 2- 3</w:t>
      </w:r>
    </w:p>
    <w:bookmarkStart w:id="9" w:name="_ftn3"/>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"_ftnref3"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[3]</w:t>
      </w:r>
      <w:r w:rsidRPr="00142A8A">
        <w:rPr>
          <w:rFonts w:ascii="Times New Roman" w:eastAsia="Times New Roman" w:hAnsi="Times New Roman" w:cs="Times New Roman"/>
          <w:sz w:val="24"/>
          <w:szCs w:val="24"/>
        </w:rPr>
        <w:fldChar w:fldCharType="end"/>
      </w:r>
      <w:bookmarkEnd w:id="9"/>
      <w:r w:rsidRPr="00142A8A">
        <w:rPr>
          <w:rFonts w:ascii="Times New Roman" w:eastAsia="Times New Roman" w:hAnsi="Times New Roman" w:cs="Times New Roman"/>
          <w:sz w:val="24"/>
          <w:szCs w:val="24"/>
        </w:rPr>
        <w:t xml:space="preserve"> Id. at para. 9</w:t>
      </w:r>
    </w:p>
    <w:bookmarkStart w:id="10" w:name="_ftn4"/>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"_ftnref4"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[4]</w:t>
      </w:r>
      <w:r w:rsidRPr="00142A8A">
        <w:rPr>
          <w:rFonts w:ascii="Times New Roman" w:eastAsia="Times New Roman" w:hAnsi="Times New Roman" w:cs="Times New Roman"/>
          <w:sz w:val="24"/>
          <w:szCs w:val="24"/>
        </w:rPr>
        <w:fldChar w:fldCharType="end"/>
      </w:r>
      <w:bookmarkEnd w:id="10"/>
      <w:r w:rsidRPr="00142A8A">
        <w:rPr>
          <w:rFonts w:ascii="Times New Roman" w:eastAsia="Times New Roman" w:hAnsi="Times New Roman" w:cs="Times New Roman"/>
          <w:sz w:val="24"/>
          <w:szCs w:val="24"/>
        </w:rPr>
        <w:t xml:space="preserve"> Statement by the UN Special Rapporteur on the promotion and protection of the right to freedom of opinion and expression at the conclusion of his visit to Israel and the occupied Palestinian territory, 18 December 2011,  http://www.ohchr.org/EN/NewsEvents/Pages/DisplayNews.aspx?NewsID=11727&amp;LangID=E</w:t>
      </w:r>
    </w:p>
    <w:bookmarkStart w:id="11" w:name="_ftn5"/>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"_ftnref5"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[5]</w:t>
      </w:r>
      <w:r w:rsidRPr="00142A8A">
        <w:rPr>
          <w:rFonts w:ascii="Times New Roman" w:eastAsia="Times New Roman" w:hAnsi="Times New Roman" w:cs="Times New Roman"/>
          <w:sz w:val="24"/>
          <w:szCs w:val="24"/>
        </w:rPr>
        <w:fldChar w:fldCharType="end"/>
      </w:r>
      <w:bookmarkEnd w:id="11"/>
      <w:r w:rsidRPr="00142A8A">
        <w:rPr>
          <w:rFonts w:ascii="Times New Roman" w:eastAsia="Times New Roman" w:hAnsi="Times New Roman" w:cs="Times New Roman"/>
          <w:sz w:val="24"/>
          <w:szCs w:val="24"/>
        </w:rPr>
        <w:t xml:space="preserve"> Former Special Rapporteur on the situation of human rights defenders, Margaret </w:t>
      </w:r>
      <w:proofErr w:type="spellStart"/>
      <w:r w:rsidRPr="00142A8A">
        <w:rPr>
          <w:rFonts w:ascii="Times New Roman" w:eastAsia="Times New Roman" w:hAnsi="Times New Roman" w:cs="Times New Roman"/>
          <w:sz w:val="24"/>
          <w:szCs w:val="24"/>
        </w:rPr>
        <w:t>Sekaggya</w:t>
      </w:r>
      <w:proofErr w:type="spellEnd"/>
      <w:r w:rsidRPr="00142A8A">
        <w:rPr>
          <w:rFonts w:ascii="Times New Roman" w:eastAsia="Times New Roman" w:hAnsi="Times New Roman" w:cs="Times New Roman"/>
          <w:sz w:val="24"/>
          <w:szCs w:val="24"/>
        </w:rPr>
        <w:t xml:space="preserve">, noted stigmatization associated with human rights defenders, stating “The growing characterization of human rights defenders as “terrorists”, “enemies of the State” or “political opponents” by State authorities and State-owned media is a particularly worrying trend, as it is regularly used to delegitimize the work of defenders and increase their vulnerability. The Special Rapporteur expresses serious concerns in relation to this phenomenon, since it contributes to the perception that defenders are legitimate targets for abuse by State and non-State actors.” UN Doc A/HRC/13/22, 30 December 2009, para. 27, available at </w:t>
      </w:r>
      <w:hyperlink r:id="rId8" w:history="1">
        <w:r w:rsidRPr="00A73472">
          <w:rPr>
            <w:rFonts w:ascii="Times New Roman" w:eastAsia="Times New Roman" w:hAnsi="Times New Roman" w:cs="Times New Roman"/>
            <w:sz w:val="24"/>
            <w:szCs w:val="24"/>
            <w:u w:val="single"/>
          </w:rPr>
          <w:t>http://www2.ohchr.org/english/issues/defenders/docs/A.HRC.13.22.pdf</w:t>
        </w:r>
      </w:hyperlink>
    </w:p>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t>The Human Rights Committee has also noted that attacks are frequently made against individuals exercising their freedom of opinion and expression, especially against individuals “who engage in the gathering and analysis of information on the human rights situation and who publish human rights-related reports.”[5] Human Rights Committee, General comment No. 34, Article 19: Freedoms of opinion and expression, 12 September 2011, CCPR/C/GC/34, para. 23</w:t>
      </w:r>
    </w:p>
    <w:bookmarkStart w:id="12" w:name="_ftn6"/>
    <w:p w:rsidR="00142A8A" w:rsidRPr="00142A8A" w:rsidRDefault="00142A8A" w:rsidP="00142A8A">
      <w:pPr>
        <w:spacing w:before="100" w:beforeAutospacing="1" w:after="100" w:afterAutospacing="1" w:line="240" w:lineRule="auto"/>
        <w:rPr>
          <w:rFonts w:ascii="Times New Roman" w:eastAsia="Times New Roman" w:hAnsi="Times New Roman" w:cs="Times New Roman"/>
          <w:sz w:val="24"/>
          <w:szCs w:val="24"/>
        </w:rPr>
      </w:pPr>
      <w:r w:rsidRPr="00142A8A">
        <w:rPr>
          <w:rFonts w:ascii="Times New Roman" w:eastAsia="Times New Roman" w:hAnsi="Times New Roman" w:cs="Times New Roman"/>
          <w:sz w:val="24"/>
          <w:szCs w:val="24"/>
        </w:rPr>
        <w:fldChar w:fldCharType="begin"/>
      </w:r>
      <w:r w:rsidRPr="00142A8A">
        <w:rPr>
          <w:rFonts w:ascii="Times New Roman" w:eastAsia="Times New Roman" w:hAnsi="Times New Roman" w:cs="Times New Roman"/>
          <w:sz w:val="24"/>
          <w:szCs w:val="24"/>
        </w:rPr>
        <w:instrText xml:space="preserve"> HYPERLINK "http://www.mezan.org/en/post/21170/Palestinian+Human+Rights+Organizations+Council+%28PHROC%29+statement+on+BDS+movement" \l "_ftnref6" </w:instrText>
      </w:r>
      <w:r w:rsidRPr="00142A8A">
        <w:rPr>
          <w:rFonts w:ascii="Times New Roman" w:eastAsia="Times New Roman" w:hAnsi="Times New Roman" w:cs="Times New Roman"/>
          <w:sz w:val="24"/>
          <w:szCs w:val="24"/>
        </w:rPr>
        <w:fldChar w:fldCharType="separate"/>
      </w:r>
      <w:r w:rsidRPr="00A73472">
        <w:rPr>
          <w:rFonts w:ascii="Times New Roman" w:eastAsia="Times New Roman" w:hAnsi="Times New Roman" w:cs="Times New Roman"/>
          <w:sz w:val="24"/>
          <w:szCs w:val="24"/>
          <w:u w:val="single"/>
        </w:rPr>
        <w:t>[6]</w:t>
      </w:r>
      <w:r w:rsidRPr="00142A8A">
        <w:rPr>
          <w:rFonts w:ascii="Times New Roman" w:eastAsia="Times New Roman" w:hAnsi="Times New Roman" w:cs="Times New Roman"/>
          <w:sz w:val="24"/>
          <w:szCs w:val="24"/>
        </w:rPr>
        <w:fldChar w:fldCharType="end"/>
      </w:r>
      <w:bookmarkEnd w:id="12"/>
      <w:r w:rsidRPr="00A73472">
        <w:rPr>
          <w:rFonts w:ascii="Times New Roman" w:eastAsia="Times New Roman" w:hAnsi="Times New Roman" w:cs="Times New Roman"/>
          <w:i/>
          <w:iCs/>
          <w:sz w:val="24"/>
          <w:szCs w:val="24"/>
        </w:rPr>
        <w:t xml:space="preserve"> See </w:t>
      </w:r>
      <w:r w:rsidRPr="00142A8A">
        <w:rPr>
          <w:rFonts w:ascii="Times New Roman" w:eastAsia="Times New Roman" w:hAnsi="Times New Roman" w:cs="Times New Roman"/>
          <w:sz w:val="24"/>
          <w:szCs w:val="24"/>
        </w:rPr>
        <w:t xml:space="preserve">Article 41 of the International Law Commission’s Draft Articles on Responsibility for Internationally Wrongful Acts, which reflects customary international law. </w:t>
      </w:r>
      <w:r w:rsidRPr="00A73472">
        <w:rPr>
          <w:rFonts w:ascii="Times New Roman" w:eastAsia="Times New Roman" w:hAnsi="Times New Roman" w:cs="Times New Roman"/>
          <w:i/>
          <w:iCs/>
          <w:sz w:val="24"/>
          <w:szCs w:val="24"/>
        </w:rPr>
        <w:t xml:space="preserve">See also </w:t>
      </w:r>
      <w:r w:rsidRPr="00142A8A">
        <w:rPr>
          <w:rFonts w:ascii="Times New Roman" w:eastAsia="Times New Roman" w:hAnsi="Times New Roman" w:cs="Times New Roman"/>
          <w:sz w:val="24"/>
          <w:szCs w:val="24"/>
        </w:rPr>
        <w:t>ICJ. 2004. L</w:t>
      </w:r>
      <w:r w:rsidRPr="00A73472">
        <w:rPr>
          <w:rFonts w:ascii="Times New Roman" w:eastAsia="Times New Roman" w:hAnsi="Times New Roman" w:cs="Times New Roman"/>
          <w:i/>
          <w:iCs/>
          <w:sz w:val="24"/>
          <w:szCs w:val="24"/>
        </w:rPr>
        <w:t>egal Consequences of the Construction of a Wall in the Occupied Palestinian Territory</w:t>
      </w:r>
      <w:r w:rsidRPr="00142A8A">
        <w:rPr>
          <w:rFonts w:ascii="Times New Roman" w:eastAsia="Times New Roman" w:hAnsi="Times New Roman" w:cs="Times New Roman"/>
          <w:sz w:val="24"/>
          <w:szCs w:val="24"/>
        </w:rPr>
        <w:t>, para.159. The Court also declared that it is for all States, while respecting the United Nations Charter and international law, to see to it that any impediment, resulting from the construction of the Wall, to the exercise by the Palestinian people of its right to self-determination is brought to an end.</w:t>
      </w:r>
    </w:p>
    <w:p w:rsidR="00A45D15" w:rsidRPr="00A73472" w:rsidRDefault="00A45D15">
      <w:pPr>
        <w:rPr>
          <w:rFonts w:ascii="Times New Roman" w:hAnsi="Times New Roman" w:cs="Times New Roman"/>
          <w:sz w:val="24"/>
          <w:szCs w:val="24"/>
        </w:rPr>
      </w:pPr>
    </w:p>
    <w:sectPr w:rsidR="00A45D15" w:rsidRPr="00A7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8A"/>
    <w:rsid w:val="00142A8A"/>
    <w:rsid w:val="00A45D15"/>
    <w:rsid w:val="00A73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7FDA4-A88D-4429-A1A7-9FB24A33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42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42A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A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42A8A"/>
    <w:rPr>
      <w:rFonts w:ascii="Times New Roman" w:eastAsia="Times New Roman" w:hAnsi="Times New Roman" w:cs="Times New Roman"/>
      <w:b/>
      <w:bCs/>
      <w:sz w:val="27"/>
      <w:szCs w:val="27"/>
    </w:rPr>
  </w:style>
  <w:style w:type="paragraph" w:customStyle="1" w:styleId="datediv">
    <w:name w:val="date_div"/>
    <w:basedOn w:val="Normal"/>
    <w:rsid w:val="00142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A8A"/>
    <w:rPr>
      <w:color w:val="0000FF"/>
      <w:u w:val="single"/>
    </w:rPr>
  </w:style>
  <w:style w:type="paragraph" w:customStyle="1" w:styleId="innerdetpage">
    <w:name w:val="inner_det_page"/>
    <w:basedOn w:val="Normal"/>
    <w:rsid w:val="00142A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2A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2A8A"/>
    <w:rPr>
      <w:i/>
      <w:iCs/>
    </w:rPr>
  </w:style>
  <w:style w:type="character" w:styleId="Strong">
    <w:name w:val="Strong"/>
    <w:basedOn w:val="DefaultParagraphFont"/>
    <w:uiPriority w:val="22"/>
    <w:qFormat/>
    <w:rsid w:val="00142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96141">
      <w:bodyDiv w:val="1"/>
      <w:marLeft w:val="0"/>
      <w:marRight w:val="0"/>
      <w:marTop w:val="0"/>
      <w:marBottom w:val="0"/>
      <w:divBdr>
        <w:top w:val="none" w:sz="0" w:space="0" w:color="auto"/>
        <w:left w:val="none" w:sz="0" w:space="0" w:color="auto"/>
        <w:bottom w:val="none" w:sz="0" w:space="0" w:color="auto"/>
        <w:right w:val="none" w:sz="0" w:space="0" w:color="auto"/>
      </w:divBdr>
      <w:divsChild>
        <w:div w:id="889848098">
          <w:marLeft w:val="0"/>
          <w:marRight w:val="0"/>
          <w:marTop w:val="0"/>
          <w:marBottom w:val="0"/>
          <w:divBdr>
            <w:top w:val="none" w:sz="0" w:space="0" w:color="auto"/>
            <w:left w:val="none" w:sz="0" w:space="0" w:color="auto"/>
            <w:bottom w:val="none" w:sz="0" w:space="0" w:color="auto"/>
            <w:right w:val="none" w:sz="0" w:space="0" w:color="auto"/>
          </w:divBdr>
        </w:div>
        <w:div w:id="1819223719">
          <w:marLeft w:val="0"/>
          <w:marRight w:val="0"/>
          <w:marTop w:val="0"/>
          <w:marBottom w:val="0"/>
          <w:divBdr>
            <w:top w:val="none" w:sz="0" w:space="0" w:color="auto"/>
            <w:left w:val="none" w:sz="0" w:space="0" w:color="auto"/>
            <w:bottom w:val="none" w:sz="0" w:space="0" w:color="auto"/>
            <w:right w:val="none" w:sz="0" w:space="0" w:color="auto"/>
          </w:divBdr>
          <w:divsChild>
            <w:div w:id="18160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issues/defenders/docs/A.HRC.13.22.pdf" TargetMode="External"/><Relationship Id="rId3" Type="http://schemas.openxmlformats.org/officeDocument/2006/relationships/webSettings" Target="webSettings.xml"/><Relationship Id="rId7" Type="http://schemas.openxmlformats.org/officeDocument/2006/relationships/hyperlink" Target="http://www.alhaq.org/advocacy/targets/european-union/991-phroc-welcomes-eu-labeling-of-settlement-products-as-a-first-step-towards-a-b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as.europa.eu/delegations/israel/documents/news/20151111_interpretative_notice_indication_of_origin_of_goods_en.pdf" TargetMode="External"/><Relationship Id="rId5" Type="http://schemas.openxmlformats.org/officeDocument/2006/relationships/hyperlink" Target="http://bdsmovement.net/call" TargetMode="External"/><Relationship Id="rId10" Type="http://schemas.openxmlformats.org/officeDocument/2006/relationships/theme" Target="theme/theme1.xml"/><Relationship Id="rId4" Type="http://schemas.openxmlformats.org/officeDocument/2006/relationships/hyperlink" Target="http://www.mezan.org/en/post/2117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2017-03-06T17:25:00Z</dcterms:created>
  <dcterms:modified xsi:type="dcterms:W3CDTF">2017-03-06T17:45:00Z</dcterms:modified>
</cp:coreProperties>
</file>