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A0" w:rsidRPr="008D61A0" w:rsidRDefault="00DD7D1A" w:rsidP="008D61A0">
      <w:pPr>
        <w:pStyle w:val="Heading2"/>
        <w:shd w:val="clear" w:color="auto" w:fill="FFFFFF"/>
        <w:spacing w:before="0"/>
        <w:rPr>
          <w:rFonts w:ascii="Times New Roman" w:hAnsi="Times New Roman" w:cs="Times New Roman"/>
          <w:b/>
          <w:color w:val="000000"/>
          <w:spacing w:val="-10"/>
          <w:sz w:val="44"/>
          <w:szCs w:val="44"/>
        </w:rPr>
      </w:pPr>
      <w:r>
        <w:rPr>
          <w:rFonts w:ascii="Times New Roman" w:hAnsi="Times New Roman" w:cs="Times New Roman"/>
          <w:b/>
          <w:color w:val="000000"/>
          <w:spacing w:val="-10"/>
          <w:sz w:val="44"/>
          <w:szCs w:val="44"/>
        </w:rPr>
        <w:t>Goldstone Report: 575 pages of NGO cut and paste</w:t>
      </w:r>
    </w:p>
    <w:p w:rsidR="00B45FB4" w:rsidRDefault="00B45FB4" w:rsidP="009A65C1">
      <w:pPr>
        <w:spacing w:after="0" w:line="240" w:lineRule="auto"/>
        <w:rPr>
          <w:rFonts w:ascii="Times New Roman" w:hAnsi="Times New Roman" w:cs="Times New Roman"/>
          <w:sz w:val="24"/>
          <w:szCs w:val="24"/>
        </w:rPr>
      </w:pPr>
    </w:p>
    <w:p w:rsidR="00E10549" w:rsidRPr="00AA2195" w:rsidRDefault="00DF666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w:t>
      </w:r>
      <w:r w:rsidR="00DD7D1A">
        <w:rPr>
          <w:rFonts w:ascii="Times New Roman" w:hAnsi="Times New Roman" w:cs="Times New Roman"/>
          <w:sz w:val="24"/>
          <w:szCs w:val="24"/>
        </w:rPr>
        <w:t>16</w:t>
      </w:r>
      <w:r w:rsidR="008D61A0">
        <w:rPr>
          <w:rFonts w:ascii="Times New Roman" w:hAnsi="Times New Roman" w:cs="Times New Roman"/>
          <w:sz w:val="24"/>
          <w:szCs w:val="24"/>
        </w:rPr>
        <w:t>, 2009</w:t>
      </w:r>
    </w:p>
    <w:p w:rsidR="00F83BD7" w:rsidRPr="00AA2195" w:rsidRDefault="00DD7D1A"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NGO Monitor</w:t>
      </w:r>
    </w:p>
    <w:p w:rsidR="008D61A0" w:rsidRDefault="00DD7D1A" w:rsidP="00DD7D1A">
      <w:pPr>
        <w:shd w:val="clear" w:color="auto" w:fill="FEFEFE"/>
        <w:spacing w:after="0" w:line="240" w:lineRule="auto"/>
        <w:rPr>
          <w:rFonts w:ascii="Times New Roman" w:hAnsi="Times New Roman" w:cs="Times New Roman"/>
          <w:sz w:val="24"/>
          <w:szCs w:val="24"/>
        </w:rPr>
      </w:pPr>
      <w:r w:rsidRPr="00DD7D1A">
        <w:rPr>
          <w:rFonts w:ascii="Times New Roman" w:hAnsi="Times New Roman" w:cs="Times New Roman"/>
          <w:sz w:val="24"/>
          <w:szCs w:val="24"/>
        </w:rPr>
        <w:t>http://www.ngo-monitor.org/reports/goldstone_report_pages_of_ngo_cut_and_paste_/</w:t>
      </w:r>
    </w:p>
    <w:p w:rsidR="00DD7D1A" w:rsidRDefault="00DD7D1A" w:rsidP="00DD7D1A">
      <w:pPr>
        <w:pStyle w:val="NormalWeb"/>
        <w:spacing w:before="0" w:beforeAutospacing="0" w:after="0" w:afterAutospacing="0"/>
        <w:rPr>
          <w:color w:val="000000"/>
        </w:rPr>
      </w:pPr>
    </w:p>
    <w:p w:rsidR="00DD7D1A" w:rsidRDefault="00DD7D1A" w:rsidP="00DD7D1A">
      <w:pPr>
        <w:pStyle w:val="NormalWeb"/>
        <w:spacing w:before="0" w:beforeAutospacing="0" w:after="0" w:afterAutospacing="0"/>
        <w:rPr>
          <w:color w:val="000000"/>
        </w:rPr>
      </w:pPr>
    </w:p>
    <w:p w:rsidR="00DD7D1A" w:rsidRPr="00DD7D1A" w:rsidRDefault="00DD7D1A" w:rsidP="00DD7D1A">
      <w:pPr>
        <w:numPr>
          <w:ilvl w:val="0"/>
          <w:numId w:val="3"/>
        </w:numPr>
        <w:shd w:val="clear" w:color="auto" w:fill="FFFFFF"/>
        <w:spacing w:line="240" w:lineRule="auto"/>
        <w:ind w:left="0"/>
        <w:textAlignment w:val="baseline"/>
        <w:rPr>
          <w:rFonts w:ascii="Times New Roman" w:hAnsi="Times New Roman" w:cs="Times New Roman"/>
          <w:color w:val="363745"/>
          <w:sz w:val="24"/>
          <w:szCs w:val="24"/>
        </w:rPr>
      </w:pPr>
      <w:r w:rsidRPr="00DD7D1A">
        <w:rPr>
          <w:rFonts w:ascii="Times New Roman" w:hAnsi="Times New Roman" w:cs="Times New Roman"/>
          <w:color w:val="363745"/>
          <w:sz w:val="24"/>
          <w:szCs w:val="24"/>
        </w:rPr>
        <w:t>The</w:t>
      </w:r>
      <w:r w:rsidRPr="00DD7D1A">
        <w:rPr>
          <w:rStyle w:val="apple-converted-space"/>
          <w:rFonts w:ascii="Times New Roman" w:hAnsi="Times New Roman" w:cs="Times New Roman"/>
          <w:color w:val="363745"/>
          <w:sz w:val="24"/>
          <w:szCs w:val="24"/>
        </w:rPr>
        <w:t> </w:t>
      </w:r>
      <w:hyperlink r:id="rId5" w:tgtFrame="_blank" w:history="1">
        <w:r w:rsidRPr="00DD7D1A">
          <w:rPr>
            <w:rStyle w:val="Hyperlink"/>
            <w:rFonts w:ascii="Times New Roman" w:hAnsi="Times New Roman" w:cs="Times New Roman"/>
            <w:color w:val="6D6D7D"/>
            <w:sz w:val="24"/>
            <w:szCs w:val="24"/>
            <w:bdr w:val="none" w:sz="0" w:space="0" w:color="auto" w:frame="1"/>
          </w:rPr>
          <w:t>575-page Goldstone report</w:t>
        </w:r>
      </w:hyperlink>
      <w:r w:rsidRPr="00DD7D1A">
        <w:rPr>
          <w:rStyle w:val="apple-converted-space"/>
          <w:rFonts w:ascii="Times New Roman" w:hAnsi="Times New Roman" w:cs="Times New Roman"/>
          <w:color w:val="363745"/>
          <w:sz w:val="24"/>
          <w:szCs w:val="24"/>
        </w:rPr>
        <w:t> </w:t>
      </w:r>
      <w:r w:rsidRPr="00DD7D1A">
        <w:rPr>
          <w:rFonts w:ascii="Times New Roman" w:hAnsi="Times New Roman" w:cs="Times New Roman"/>
          <w:color w:val="363745"/>
          <w:sz w:val="24"/>
          <w:szCs w:val="24"/>
        </w:rPr>
        <w:t>is primarily based on NGO statements, publications, and submissions (70 references each for</w:t>
      </w:r>
      <w:r w:rsidRPr="00DD7D1A">
        <w:rPr>
          <w:rStyle w:val="apple-converted-space"/>
          <w:rFonts w:ascii="Times New Roman" w:hAnsi="Times New Roman" w:cs="Times New Roman"/>
          <w:color w:val="363745"/>
          <w:sz w:val="24"/>
          <w:szCs w:val="24"/>
        </w:rPr>
        <w:t> </w:t>
      </w:r>
      <w:proofErr w:type="spellStart"/>
      <w:r w:rsidRPr="00DD7D1A">
        <w:rPr>
          <w:rFonts w:ascii="Times New Roman" w:hAnsi="Times New Roman" w:cs="Times New Roman"/>
          <w:color w:val="363745"/>
          <w:sz w:val="24"/>
          <w:szCs w:val="24"/>
        </w:rPr>
        <w:fldChar w:fldCharType="begin"/>
      </w:r>
      <w:r w:rsidRPr="00DD7D1A">
        <w:rPr>
          <w:rFonts w:ascii="Times New Roman" w:hAnsi="Times New Roman" w:cs="Times New Roman"/>
          <w:color w:val="363745"/>
          <w:sz w:val="24"/>
          <w:szCs w:val="24"/>
        </w:rPr>
        <w:instrText xml:space="preserve"> HYPERLINK "http://www.ngo-monitor.org/article/b_tselem" \t "_blank" </w:instrText>
      </w:r>
      <w:r w:rsidRPr="00DD7D1A">
        <w:rPr>
          <w:rFonts w:ascii="Times New Roman" w:hAnsi="Times New Roman" w:cs="Times New Roman"/>
          <w:color w:val="363745"/>
          <w:sz w:val="24"/>
          <w:szCs w:val="24"/>
        </w:rPr>
        <w:fldChar w:fldCharType="separate"/>
      </w:r>
      <w:r w:rsidRPr="00DD7D1A">
        <w:rPr>
          <w:rStyle w:val="Hyperlink"/>
          <w:rFonts w:ascii="Times New Roman" w:hAnsi="Times New Roman" w:cs="Times New Roman"/>
          <w:color w:val="6D6D7D"/>
          <w:sz w:val="24"/>
          <w:szCs w:val="24"/>
          <w:bdr w:val="none" w:sz="0" w:space="0" w:color="auto" w:frame="1"/>
        </w:rPr>
        <w:t>B’Tselem</w:t>
      </w:r>
      <w:proofErr w:type="spellEnd"/>
      <w:r w:rsidRPr="00DD7D1A">
        <w:rPr>
          <w:rFonts w:ascii="Times New Roman" w:hAnsi="Times New Roman" w:cs="Times New Roman"/>
          <w:color w:val="363745"/>
          <w:sz w:val="24"/>
          <w:szCs w:val="24"/>
        </w:rPr>
        <w:fldChar w:fldCharType="end"/>
      </w:r>
      <w:r w:rsidRPr="00DD7D1A">
        <w:rPr>
          <w:rStyle w:val="apple-converted-space"/>
          <w:rFonts w:ascii="Times New Roman" w:hAnsi="Times New Roman" w:cs="Times New Roman"/>
          <w:color w:val="363745"/>
          <w:sz w:val="24"/>
          <w:szCs w:val="24"/>
        </w:rPr>
        <w:t> </w:t>
      </w:r>
      <w:r w:rsidRPr="00DD7D1A">
        <w:rPr>
          <w:rFonts w:ascii="Times New Roman" w:hAnsi="Times New Roman" w:cs="Times New Roman"/>
          <w:color w:val="363745"/>
          <w:sz w:val="24"/>
          <w:szCs w:val="24"/>
        </w:rPr>
        <w:t>and the</w:t>
      </w:r>
      <w:r w:rsidRPr="00DD7D1A">
        <w:rPr>
          <w:rStyle w:val="apple-converted-space"/>
          <w:rFonts w:ascii="Times New Roman" w:hAnsi="Times New Roman" w:cs="Times New Roman"/>
          <w:color w:val="363745"/>
          <w:sz w:val="24"/>
          <w:szCs w:val="24"/>
        </w:rPr>
        <w:t> </w:t>
      </w:r>
      <w:hyperlink r:id="rId6" w:tgtFrame="_blank" w:history="1">
        <w:r w:rsidRPr="00DD7D1A">
          <w:rPr>
            <w:rStyle w:val="Hyperlink"/>
            <w:rFonts w:ascii="Times New Roman" w:hAnsi="Times New Roman" w:cs="Times New Roman"/>
            <w:color w:val="6D6D7D"/>
            <w:sz w:val="24"/>
            <w:szCs w:val="24"/>
            <w:bdr w:val="none" w:sz="0" w:space="0" w:color="auto" w:frame="1"/>
          </w:rPr>
          <w:t>Palestinian Center for Human Rights</w:t>
        </w:r>
      </w:hyperlink>
      <w:r w:rsidRPr="00DD7D1A">
        <w:rPr>
          <w:rFonts w:ascii="Times New Roman" w:hAnsi="Times New Roman" w:cs="Times New Roman"/>
          <w:color w:val="363745"/>
          <w:sz w:val="24"/>
          <w:szCs w:val="24"/>
        </w:rPr>
        <w:t>, and more than 30 for</w:t>
      </w:r>
      <w:r w:rsidRPr="00DD7D1A">
        <w:rPr>
          <w:rStyle w:val="apple-converted-space"/>
          <w:rFonts w:ascii="Times New Roman" w:hAnsi="Times New Roman" w:cs="Times New Roman"/>
          <w:color w:val="363745"/>
          <w:sz w:val="24"/>
          <w:szCs w:val="24"/>
        </w:rPr>
        <w:t> </w:t>
      </w:r>
      <w:hyperlink r:id="rId7" w:tgtFrame="_blank" w:history="1">
        <w:r w:rsidRPr="00DD7D1A">
          <w:rPr>
            <w:rStyle w:val="Hyperlink"/>
            <w:rFonts w:ascii="Times New Roman" w:hAnsi="Times New Roman" w:cs="Times New Roman"/>
            <w:color w:val="6D6D7D"/>
            <w:sz w:val="24"/>
            <w:szCs w:val="24"/>
            <w:bdr w:val="none" w:sz="0" w:space="0" w:color="auto" w:frame="1"/>
          </w:rPr>
          <w:t>Al-Haq</w:t>
        </w:r>
      </w:hyperlink>
      <w:r w:rsidRPr="00DD7D1A">
        <w:rPr>
          <w:rFonts w:ascii="Times New Roman" w:hAnsi="Times New Roman" w:cs="Times New Roman"/>
          <w:color w:val="363745"/>
          <w:sz w:val="24"/>
          <w:szCs w:val="24"/>
        </w:rPr>
        <w:t>  and</w:t>
      </w:r>
      <w:r w:rsidRPr="00DD7D1A">
        <w:rPr>
          <w:rStyle w:val="apple-converted-space"/>
          <w:rFonts w:ascii="Times New Roman" w:hAnsi="Times New Roman" w:cs="Times New Roman"/>
          <w:color w:val="363745"/>
          <w:sz w:val="24"/>
          <w:szCs w:val="24"/>
        </w:rPr>
        <w:t> </w:t>
      </w:r>
      <w:hyperlink r:id="rId8" w:tgtFrame="_blank" w:history="1">
        <w:r w:rsidRPr="00DD7D1A">
          <w:rPr>
            <w:rStyle w:val="Hyperlink"/>
            <w:rFonts w:ascii="Times New Roman" w:hAnsi="Times New Roman" w:cs="Times New Roman"/>
            <w:color w:val="6D6D7D"/>
            <w:sz w:val="24"/>
            <w:szCs w:val="24"/>
            <w:bdr w:val="none" w:sz="0" w:space="0" w:color="auto" w:frame="1"/>
          </w:rPr>
          <w:t>Human Rights Watch</w:t>
        </w:r>
      </w:hyperlink>
      <w:r w:rsidRPr="00DD7D1A">
        <w:rPr>
          <w:rFonts w:ascii="Times New Roman" w:hAnsi="Times New Roman" w:cs="Times New Roman"/>
          <w:color w:val="363745"/>
          <w:sz w:val="24"/>
          <w:szCs w:val="24"/>
        </w:rPr>
        <w:t>).  In its</w:t>
      </w:r>
      <w:r w:rsidRPr="00DD7D1A">
        <w:rPr>
          <w:rStyle w:val="apple-converted-space"/>
          <w:rFonts w:ascii="Times New Roman" w:hAnsi="Times New Roman" w:cs="Times New Roman"/>
          <w:color w:val="363745"/>
          <w:sz w:val="24"/>
          <w:szCs w:val="24"/>
        </w:rPr>
        <w:t> </w:t>
      </w:r>
      <w:hyperlink r:id="rId9" w:tgtFrame="_blank" w:history="1">
        <w:r w:rsidRPr="00DD7D1A">
          <w:rPr>
            <w:rStyle w:val="Hyperlink"/>
            <w:rFonts w:ascii="Times New Roman" w:hAnsi="Times New Roman" w:cs="Times New Roman"/>
            <w:color w:val="6D6D7D"/>
            <w:sz w:val="24"/>
            <w:szCs w:val="24"/>
            <w:bdr w:val="none" w:sz="0" w:space="0" w:color="auto" w:frame="1"/>
          </w:rPr>
          <w:t>analysis of NGO submissions and testimony</w:t>
        </w:r>
      </w:hyperlink>
      <w:r w:rsidRPr="00DD7D1A">
        <w:rPr>
          <w:rFonts w:ascii="Times New Roman" w:hAnsi="Times New Roman" w:cs="Times New Roman"/>
          <w:color w:val="363745"/>
          <w:sz w:val="24"/>
          <w:szCs w:val="24"/>
        </w:rPr>
        <w:t>, NGO Monitor found numerous f</w:t>
      </w:r>
      <w:bookmarkStart w:id="0" w:name="_GoBack"/>
      <w:bookmarkEnd w:id="0"/>
      <w:r w:rsidRPr="00DD7D1A">
        <w:rPr>
          <w:rFonts w:ascii="Times New Roman" w:hAnsi="Times New Roman" w:cs="Times New Roman"/>
          <w:color w:val="363745"/>
          <w:sz w:val="24"/>
          <w:szCs w:val="24"/>
        </w:rPr>
        <w:t>alse and unsubstantiated allegations. Nevertheless, the Goldstone committee simply copied the NGO biases, flawed methodology, and false claims, rendering the entire report invalid.</w:t>
      </w:r>
    </w:p>
    <w:p w:rsidR="00DD7D1A" w:rsidRPr="00DD7D1A" w:rsidRDefault="00DD7D1A" w:rsidP="00DD7D1A">
      <w:pPr>
        <w:numPr>
          <w:ilvl w:val="0"/>
          <w:numId w:val="3"/>
        </w:numPr>
        <w:shd w:val="clear" w:color="auto" w:fill="FFFFFF"/>
        <w:spacing w:line="240" w:lineRule="auto"/>
        <w:ind w:left="0"/>
        <w:textAlignment w:val="baseline"/>
        <w:rPr>
          <w:rFonts w:ascii="Times New Roman" w:hAnsi="Times New Roman" w:cs="Times New Roman"/>
          <w:color w:val="363745"/>
          <w:sz w:val="24"/>
          <w:szCs w:val="24"/>
        </w:rPr>
      </w:pPr>
      <w:r w:rsidRPr="00DD7D1A">
        <w:rPr>
          <w:rFonts w:ascii="Times New Roman" w:hAnsi="Times New Roman" w:cs="Times New Roman"/>
          <w:color w:val="363745"/>
          <w:sz w:val="24"/>
          <w:szCs w:val="24"/>
        </w:rPr>
        <w:t>Goldstone’s press conference in New York and the report’s recommendations constitute another step in the Durban Strategy, crystallized at the</w:t>
      </w:r>
      <w:r w:rsidRPr="00DD7D1A">
        <w:rPr>
          <w:rStyle w:val="apple-converted-space"/>
          <w:rFonts w:ascii="Times New Roman" w:hAnsi="Times New Roman" w:cs="Times New Roman"/>
          <w:color w:val="363745"/>
          <w:sz w:val="24"/>
          <w:szCs w:val="24"/>
        </w:rPr>
        <w:t> </w:t>
      </w:r>
      <w:hyperlink r:id="rId10" w:tgtFrame="_blank" w:history="1">
        <w:r w:rsidRPr="00DD7D1A">
          <w:rPr>
            <w:rStyle w:val="Hyperlink"/>
            <w:rFonts w:ascii="Times New Roman" w:hAnsi="Times New Roman" w:cs="Times New Roman"/>
            <w:color w:val="6D6D7D"/>
            <w:sz w:val="24"/>
            <w:szCs w:val="24"/>
            <w:bdr w:val="none" w:sz="0" w:space="0" w:color="auto" w:frame="1"/>
          </w:rPr>
          <w:t>2001 NGO Forum</w:t>
        </w:r>
      </w:hyperlink>
      <w:r w:rsidRPr="00DD7D1A">
        <w:rPr>
          <w:rFonts w:ascii="Times New Roman" w:hAnsi="Times New Roman" w:cs="Times New Roman"/>
          <w:color w:val="363745"/>
          <w:sz w:val="24"/>
          <w:szCs w:val="24"/>
        </w:rPr>
        <w:t>, using the language of human rights and international law as weapons in the political war to isolate and demonize Israel, and restrict legitimate responses to terror.</w:t>
      </w:r>
    </w:p>
    <w:p w:rsidR="00DD7D1A" w:rsidRPr="00DD7D1A" w:rsidRDefault="00DD7D1A" w:rsidP="00DD7D1A">
      <w:pPr>
        <w:numPr>
          <w:ilvl w:val="0"/>
          <w:numId w:val="3"/>
        </w:numPr>
        <w:shd w:val="clear" w:color="auto" w:fill="FFFFFF"/>
        <w:spacing w:line="240" w:lineRule="auto"/>
        <w:ind w:left="0"/>
        <w:textAlignment w:val="baseline"/>
        <w:rPr>
          <w:rFonts w:ascii="Times New Roman" w:hAnsi="Times New Roman" w:cs="Times New Roman"/>
          <w:color w:val="363745"/>
          <w:sz w:val="24"/>
          <w:szCs w:val="24"/>
        </w:rPr>
      </w:pPr>
      <w:r w:rsidRPr="00DD7D1A">
        <w:rPr>
          <w:rFonts w:ascii="Times New Roman" w:hAnsi="Times New Roman" w:cs="Times New Roman"/>
          <w:color w:val="363745"/>
          <w:sz w:val="24"/>
          <w:szCs w:val="24"/>
        </w:rPr>
        <w:t>Still no “human shields” in Gaza.  Following</w:t>
      </w:r>
      <w:r w:rsidRPr="00DD7D1A">
        <w:rPr>
          <w:rStyle w:val="apple-converted-space"/>
          <w:rFonts w:ascii="Times New Roman" w:hAnsi="Times New Roman" w:cs="Times New Roman"/>
          <w:color w:val="363745"/>
          <w:sz w:val="24"/>
          <w:szCs w:val="24"/>
        </w:rPr>
        <w:t> </w:t>
      </w:r>
      <w:hyperlink r:id="rId11" w:tgtFrame="_blank" w:history="1">
        <w:r w:rsidRPr="00DD7D1A">
          <w:rPr>
            <w:rStyle w:val="Hyperlink"/>
            <w:rFonts w:ascii="Times New Roman" w:hAnsi="Times New Roman" w:cs="Times New Roman"/>
            <w:color w:val="6D6D7D"/>
            <w:sz w:val="24"/>
            <w:szCs w:val="24"/>
            <w:bdr w:val="none" w:sz="0" w:space="0" w:color="auto" w:frame="1"/>
          </w:rPr>
          <w:t>HRW</w:t>
        </w:r>
      </w:hyperlink>
      <w:r w:rsidRPr="00DD7D1A">
        <w:rPr>
          <w:rStyle w:val="apple-converted-space"/>
          <w:rFonts w:ascii="Times New Roman" w:hAnsi="Times New Roman" w:cs="Times New Roman"/>
          <w:color w:val="363745"/>
          <w:sz w:val="24"/>
          <w:szCs w:val="24"/>
        </w:rPr>
        <w:t> </w:t>
      </w:r>
      <w:r w:rsidRPr="00DD7D1A">
        <w:rPr>
          <w:rFonts w:ascii="Times New Roman" w:hAnsi="Times New Roman" w:cs="Times New Roman"/>
          <w:color w:val="363745"/>
          <w:sz w:val="24"/>
          <w:szCs w:val="24"/>
        </w:rPr>
        <w:t>and</w:t>
      </w:r>
      <w:r w:rsidRPr="00DD7D1A">
        <w:rPr>
          <w:rStyle w:val="apple-converted-space"/>
          <w:rFonts w:ascii="Times New Roman" w:hAnsi="Times New Roman" w:cs="Times New Roman"/>
          <w:color w:val="363745"/>
          <w:sz w:val="24"/>
          <w:szCs w:val="24"/>
        </w:rPr>
        <w:t> </w:t>
      </w:r>
      <w:hyperlink r:id="rId12" w:tgtFrame="_blank" w:history="1">
        <w:r w:rsidRPr="00DD7D1A">
          <w:rPr>
            <w:rStyle w:val="Hyperlink"/>
            <w:rFonts w:ascii="Times New Roman" w:hAnsi="Times New Roman" w:cs="Times New Roman"/>
            <w:color w:val="6D6D7D"/>
            <w:sz w:val="24"/>
            <w:szCs w:val="24"/>
            <w:bdr w:val="none" w:sz="0" w:space="0" w:color="auto" w:frame="1"/>
          </w:rPr>
          <w:t>Amnesty</w:t>
        </w:r>
      </w:hyperlink>
      <w:r w:rsidRPr="00DD7D1A">
        <w:rPr>
          <w:rFonts w:ascii="Times New Roman" w:hAnsi="Times New Roman" w:cs="Times New Roman"/>
          <w:color w:val="363745"/>
          <w:sz w:val="24"/>
          <w:szCs w:val="24"/>
        </w:rPr>
        <w:t>, paragraph 495 ignores evidence that contradicts Goldstone’s</w:t>
      </w:r>
      <w:r w:rsidRPr="00DD7D1A">
        <w:rPr>
          <w:rStyle w:val="apple-converted-space"/>
          <w:rFonts w:ascii="Times New Roman" w:hAnsi="Times New Roman" w:cs="Times New Roman"/>
          <w:color w:val="363745"/>
          <w:sz w:val="24"/>
          <w:szCs w:val="24"/>
        </w:rPr>
        <w:t> </w:t>
      </w:r>
      <w:hyperlink r:id="rId13" w:tgtFrame="_blank" w:history="1">
        <w:r w:rsidRPr="00DD7D1A">
          <w:rPr>
            <w:rStyle w:val="Hyperlink"/>
            <w:rFonts w:ascii="Times New Roman" w:hAnsi="Times New Roman" w:cs="Times New Roman"/>
            <w:color w:val="6D6D7D"/>
            <w:sz w:val="24"/>
            <w:szCs w:val="24"/>
            <w:bdr w:val="none" w:sz="0" w:space="0" w:color="auto" w:frame="1"/>
          </w:rPr>
          <w:t>predetermined conclusions</w:t>
        </w:r>
      </w:hyperlink>
      <w:r w:rsidRPr="00DD7D1A">
        <w:rPr>
          <w:rFonts w:ascii="Times New Roman" w:hAnsi="Times New Roman" w:cs="Times New Roman"/>
          <w:color w:val="363745"/>
          <w:sz w:val="24"/>
          <w:szCs w:val="24"/>
        </w:rPr>
        <w:t>: “Although the situations investigated by the Mission did not establish the use of mosques for military purposes or to shield military activities, the Mission cannot exclude that this might have occurred in other cases.”</w:t>
      </w:r>
    </w:p>
    <w:p w:rsidR="00DD7D1A" w:rsidRPr="00DD7D1A" w:rsidRDefault="00DD7D1A" w:rsidP="00DD7D1A">
      <w:pPr>
        <w:numPr>
          <w:ilvl w:val="0"/>
          <w:numId w:val="3"/>
        </w:numPr>
        <w:shd w:val="clear" w:color="auto" w:fill="FFFFFF"/>
        <w:spacing w:before="105" w:line="240" w:lineRule="auto"/>
        <w:ind w:left="0"/>
        <w:textAlignment w:val="baseline"/>
        <w:rPr>
          <w:rFonts w:ascii="Times New Roman" w:hAnsi="Times New Roman" w:cs="Times New Roman"/>
          <w:color w:val="363745"/>
          <w:sz w:val="24"/>
          <w:szCs w:val="24"/>
        </w:rPr>
      </w:pPr>
      <w:r w:rsidRPr="00DD7D1A">
        <w:rPr>
          <w:rFonts w:ascii="Times New Roman" w:hAnsi="Times New Roman" w:cs="Times New Roman"/>
          <w:color w:val="363745"/>
          <w:sz w:val="24"/>
          <w:szCs w:val="24"/>
        </w:rPr>
        <w:t>The report copies NGO distortions of international law, including:</w:t>
      </w:r>
    </w:p>
    <w:p w:rsidR="00DD7D1A" w:rsidRPr="00DD7D1A" w:rsidRDefault="00DD7D1A" w:rsidP="00DD7D1A">
      <w:pPr>
        <w:numPr>
          <w:ilvl w:val="1"/>
          <w:numId w:val="3"/>
        </w:numPr>
        <w:shd w:val="clear" w:color="auto" w:fill="FFFFFF"/>
        <w:spacing w:line="240" w:lineRule="auto"/>
        <w:ind w:left="0"/>
        <w:textAlignment w:val="baseline"/>
        <w:rPr>
          <w:rFonts w:ascii="Times New Roman" w:hAnsi="Times New Roman" w:cs="Times New Roman"/>
          <w:color w:val="363745"/>
          <w:sz w:val="24"/>
          <w:szCs w:val="24"/>
        </w:rPr>
      </w:pPr>
      <w:r w:rsidRPr="00DD7D1A">
        <w:rPr>
          <w:rFonts w:ascii="Times New Roman" w:hAnsi="Times New Roman" w:cs="Times New Roman"/>
          <w:color w:val="363745"/>
          <w:sz w:val="24"/>
          <w:szCs w:val="24"/>
        </w:rPr>
        <w:t xml:space="preserve">Promotion of the false legal claim invented by the PLO Negotiation Affairs Department (and promoted by NGOs such as </w:t>
      </w:r>
      <w:proofErr w:type="spellStart"/>
      <w:r w:rsidRPr="00DD7D1A">
        <w:rPr>
          <w:rFonts w:ascii="Times New Roman" w:hAnsi="Times New Roman" w:cs="Times New Roman"/>
          <w:color w:val="363745"/>
          <w:sz w:val="24"/>
          <w:szCs w:val="24"/>
        </w:rPr>
        <w:t>B’tselem</w:t>
      </w:r>
      <w:proofErr w:type="spellEnd"/>
      <w:r w:rsidRPr="00DD7D1A">
        <w:rPr>
          <w:rFonts w:ascii="Times New Roman" w:hAnsi="Times New Roman" w:cs="Times New Roman"/>
          <w:color w:val="363745"/>
          <w:sz w:val="24"/>
          <w:szCs w:val="24"/>
        </w:rPr>
        <w:t>, HRW,</w:t>
      </w:r>
      <w:r w:rsidRPr="00DD7D1A">
        <w:rPr>
          <w:rStyle w:val="apple-converted-space"/>
          <w:rFonts w:ascii="Times New Roman" w:hAnsi="Times New Roman" w:cs="Times New Roman"/>
          <w:color w:val="363745"/>
          <w:sz w:val="24"/>
          <w:szCs w:val="24"/>
        </w:rPr>
        <w:t> </w:t>
      </w:r>
      <w:hyperlink r:id="rId14" w:tgtFrame="_blank" w:history="1">
        <w:r w:rsidRPr="00DD7D1A">
          <w:rPr>
            <w:rStyle w:val="Hyperlink"/>
            <w:rFonts w:ascii="Times New Roman" w:hAnsi="Times New Roman" w:cs="Times New Roman"/>
            <w:color w:val="6D6D7D"/>
            <w:sz w:val="24"/>
            <w:szCs w:val="24"/>
            <w:bdr w:val="none" w:sz="0" w:space="0" w:color="auto" w:frame="1"/>
          </w:rPr>
          <w:t>Amnesty</w:t>
        </w:r>
      </w:hyperlink>
      <w:r w:rsidRPr="00DD7D1A">
        <w:rPr>
          <w:rFonts w:ascii="Times New Roman" w:hAnsi="Times New Roman" w:cs="Times New Roman"/>
          <w:color w:val="363745"/>
          <w:sz w:val="24"/>
          <w:szCs w:val="24"/>
        </w:rPr>
        <w:t>) that Gaza remains “occupied” after the 2005 disengagement (p. 9).  The political objective of this distortion is to manufacture humanitarian obligations that do not exist under international law. (The ICRC, in contrast, had acknowledged that Gaza is an “</w:t>
      </w:r>
      <w:hyperlink r:id="rId15" w:tgtFrame="_blank" w:history="1">
        <w:r w:rsidRPr="00DD7D1A">
          <w:rPr>
            <w:rStyle w:val="Hyperlink"/>
            <w:rFonts w:ascii="Times New Roman" w:hAnsi="Times New Roman" w:cs="Times New Roman"/>
            <w:color w:val="6D6D7D"/>
            <w:sz w:val="24"/>
            <w:szCs w:val="24"/>
            <w:bdr w:val="none" w:sz="0" w:space="0" w:color="auto" w:frame="1"/>
          </w:rPr>
          <w:t>autonomous territory</w:t>
        </w:r>
      </w:hyperlink>
      <w:r w:rsidRPr="00DD7D1A">
        <w:rPr>
          <w:rFonts w:ascii="Times New Roman" w:hAnsi="Times New Roman" w:cs="Times New Roman"/>
          <w:color w:val="363745"/>
          <w:sz w:val="24"/>
          <w:szCs w:val="24"/>
        </w:rPr>
        <w:t>.” However, after the release of the Goldstone report, the ICRC</w:t>
      </w:r>
      <w:r w:rsidRPr="00DD7D1A">
        <w:rPr>
          <w:rStyle w:val="apple-converted-space"/>
          <w:rFonts w:ascii="Times New Roman" w:hAnsi="Times New Roman" w:cs="Times New Roman"/>
          <w:color w:val="363745"/>
          <w:sz w:val="24"/>
          <w:szCs w:val="24"/>
        </w:rPr>
        <w:t> </w:t>
      </w:r>
      <w:hyperlink r:id="rId16" w:tgtFrame="_blank" w:history="1">
        <w:r w:rsidRPr="00DD7D1A">
          <w:rPr>
            <w:rStyle w:val="Hyperlink"/>
            <w:rFonts w:ascii="Times New Roman" w:hAnsi="Times New Roman" w:cs="Times New Roman"/>
            <w:color w:val="6D6D7D"/>
            <w:sz w:val="24"/>
            <w:szCs w:val="24"/>
            <w:bdr w:val="none" w:sz="0" w:space="0" w:color="auto" w:frame="1"/>
          </w:rPr>
          <w:t>changed its website</w:t>
        </w:r>
      </w:hyperlink>
      <w:r w:rsidRPr="00DD7D1A">
        <w:rPr>
          <w:rStyle w:val="apple-converted-space"/>
          <w:rFonts w:ascii="Times New Roman" w:hAnsi="Times New Roman" w:cs="Times New Roman"/>
          <w:color w:val="363745"/>
          <w:sz w:val="24"/>
          <w:szCs w:val="24"/>
        </w:rPr>
        <w:t> </w:t>
      </w:r>
      <w:r w:rsidRPr="00DD7D1A">
        <w:rPr>
          <w:rFonts w:ascii="Times New Roman" w:hAnsi="Times New Roman" w:cs="Times New Roman"/>
          <w:color w:val="363745"/>
          <w:sz w:val="24"/>
          <w:szCs w:val="24"/>
        </w:rPr>
        <w:t>to promote the biased conclusion of the Mission.)</w:t>
      </w:r>
    </w:p>
    <w:p w:rsidR="00DD7D1A" w:rsidRPr="00DD7D1A" w:rsidRDefault="00DD7D1A" w:rsidP="00DD7D1A">
      <w:pPr>
        <w:numPr>
          <w:ilvl w:val="1"/>
          <w:numId w:val="3"/>
        </w:numPr>
        <w:shd w:val="clear" w:color="auto" w:fill="FFFFFF"/>
        <w:spacing w:line="240" w:lineRule="auto"/>
        <w:ind w:left="0"/>
        <w:textAlignment w:val="baseline"/>
        <w:rPr>
          <w:rFonts w:ascii="Times New Roman" w:hAnsi="Times New Roman" w:cs="Times New Roman"/>
          <w:color w:val="363745"/>
          <w:sz w:val="24"/>
          <w:szCs w:val="24"/>
        </w:rPr>
      </w:pPr>
      <w:r w:rsidRPr="00DD7D1A">
        <w:rPr>
          <w:rFonts w:ascii="Times New Roman" w:hAnsi="Times New Roman" w:cs="Times New Roman"/>
          <w:color w:val="363745"/>
          <w:sz w:val="24"/>
          <w:szCs w:val="24"/>
        </w:rPr>
        <w:t>The classification of the Gaza police force as “civilian” (paras. 33-34) even though</w:t>
      </w:r>
      <w:r w:rsidRPr="00DD7D1A">
        <w:rPr>
          <w:rStyle w:val="apple-converted-space"/>
          <w:rFonts w:ascii="Times New Roman" w:hAnsi="Times New Roman" w:cs="Times New Roman"/>
          <w:color w:val="363745"/>
          <w:sz w:val="24"/>
          <w:szCs w:val="24"/>
        </w:rPr>
        <w:t> </w:t>
      </w:r>
      <w:hyperlink r:id="rId17" w:tgtFrame="_blank" w:history="1">
        <w:r w:rsidRPr="00DD7D1A">
          <w:rPr>
            <w:rStyle w:val="Hyperlink"/>
            <w:rFonts w:ascii="Times New Roman" w:hAnsi="Times New Roman" w:cs="Times New Roman"/>
            <w:color w:val="6D6D7D"/>
            <w:sz w:val="24"/>
            <w:szCs w:val="24"/>
            <w:bdr w:val="none" w:sz="0" w:space="0" w:color="auto" w:frame="1"/>
          </w:rPr>
          <w:t>independent studies</w:t>
        </w:r>
      </w:hyperlink>
      <w:r w:rsidRPr="00DD7D1A">
        <w:rPr>
          <w:rStyle w:val="apple-converted-space"/>
          <w:rFonts w:ascii="Times New Roman" w:hAnsi="Times New Roman" w:cs="Times New Roman"/>
          <w:color w:val="363745"/>
          <w:sz w:val="24"/>
          <w:szCs w:val="24"/>
        </w:rPr>
        <w:t> </w:t>
      </w:r>
      <w:r w:rsidRPr="00DD7D1A">
        <w:rPr>
          <w:rFonts w:ascii="Times New Roman" w:hAnsi="Times New Roman" w:cs="Times New Roman"/>
          <w:color w:val="363745"/>
          <w:sz w:val="24"/>
          <w:szCs w:val="24"/>
        </w:rPr>
        <w:t>have shown that more than ninety percent were members of Hamas’ military wing and active combatants.</w:t>
      </w:r>
    </w:p>
    <w:p w:rsidR="00DD7D1A" w:rsidRPr="00DD7D1A" w:rsidRDefault="00DD7D1A" w:rsidP="00DD7D1A">
      <w:pPr>
        <w:numPr>
          <w:ilvl w:val="1"/>
          <w:numId w:val="3"/>
        </w:numPr>
        <w:shd w:val="clear" w:color="auto" w:fill="FFFFFF"/>
        <w:spacing w:line="240" w:lineRule="auto"/>
        <w:ind w:left="0"/>
        <w:textAlignment w:val="baseline"/>
        <w:rPr>
          <w:rFonts w:ascii="Times New Roman" w:hAnsi="Times New Roman" w:cs="Times New Roman"/>
          <w:color w:val="363745"/>
          <w:sz w:val="24"/>
          <w:szCs w:val="24"/>
        </w:rPr>
      </w:pPr>
      <w:r w:rsidRPr="00DD7D1A">
        <w:rPr>
          <w:rFonts w:ascii="Times New Roman" w:hAnsi="Times New Roman" w:cs="Times New Roman"/>
          <w:color w:val="363745"/>
          <w:sz w:val="24"/>
          <w:szCs w:val="24"/>
        </w:rPr>
        <w:t>The claim that under the Geneva Convention (para 28) Israel has a duty to supply food to Gazans.  No such duty exists and the Commission does not cite to any specific provision of the Convention to support its claim.  For more on NGO distortions of international law regarding Gaza, see</w:t>
      </w:r>
      <w:r w:rsidRPr="00DD7D1A">
        <w:rPr>
          <w:rStyle w:val="apple-converted-space"/>
          <w:rFonts w:ascii="Times New Roman" w:hAnsi="Times New Roman" w:cs="Times New Roman"/>
          <w:color w:val="363745"/>
          <w:sz w:val="24"/>
          <w:szCs w:val="24"/>
        </w:rPr>
        <w:t> </w:t>
      </w:r>
      <w:hyperlink r:id="rId18" w:tgtFrame="_blank" w:history="1">
        <w:r w:rsidRPr="00DD7D1A">
          <w:rPr>
            <w:rStyle w:val="Hyperlink"/>
            <w:rFonts w:ascii="Times New Roman" w:hAnsi="Times New Roman" w:cs="Times New Roman"/>
            <w:color w:val="6D6D7D"/>
            <w:sz w:val="24"/>
            <w:szCs w:val="24"/>
            <w:bdr w:val="none" w:sz="0" w:space="0" w:color="auto" w:frame="1"/>
          </w:rPr>
          <w:t xml:space="preserve">NGO Monitor’s </w:t>
        </w:r>
        <w:proofErr w:type="spellStart"/>
        <w:r w:rsidRPr="00DD7D1A">
          <w:rPr>
            <w:rStyle w:val="Hyperlink"/>
            <w:rFonts w:ascii="Times New Roman" w:hAnsi="Times New Roman" w:cs="Times New Roman"/>
            <w:color w:val="6D6D7D"/>
            <w:sz w:val="24"/>
            <w:szCs w:val="24"/>
            <w:bdr w:val="none" w:sz="0" w:space="0" w:color="auto" w:frame="1"/>
          </w:rPr>
          <w:t>report</w:t>
        </w:r>
      </w:hyperlink>
      <w:r w:rsidRPr="00DD7D1A">
        <w:rPr>
          <w:rFonts w:ascii="Times New Roman" w:hAnsi="Times New Roman" w:cs="Times New Roman"/>
          <w:color w:val="363745"/>
          <w:sz w:val="24"/>
          <w:szCs w:val="24"/>
        </w:rPr>
        <w:t>on</w:t>
      </w:r>
      <w:proofErr w:type="spellEnd"/>
      <w:r w:rsidRPr="00DD7D1A">
        <w:rPr>
          <w:rFonts w:ascii="Times New Roman" w:hAnsi="Times New Roman" w:cs="Times New Roman"/>
          <w:color w:val="363745"/>
          <w:sz w:val="24"/>
          <w:szCs w:val="24"/>
        </w:rPr>
        <w:t xml:space="preserve"> the topic.</w:t>
      </w:r>
    </w:p>
    <w:p w:rsidR="00DD7D1A" w:rsidRPr="00DD7D1A" w:rsidRDefault="00DD7D1A" w:rsidP="00DD7D1A">
      <w:pPr>
        <w:numPr>
          <w:ilvl w:val="1"/>
          <w:numId w:val="3"/>
        </w:numPr>
        <w:shd w:val="clear" w:color="auto" w:fill="FFFFFF"/>
        <w:spacing w:line="240" w:lineRule="auto"/>
        <w:ind w:left="0"/>
        <w:textAlignment w:val="baseline"/>
        <w:rPr>
          <w:rFonts w:ascii="Times New Roman" w:hAnsi="Times New Roman" w:cs="Times New Roman"/>
          <w:color w:val="363745"/>
          <w:sz w:val="24"/>
          <w:szCs w:val="24"/>
        </w:rPr>
      </w:pPr>
      <w:r w:rsidRPr="00DD7D1A">
        <w:rPr>
          <w:rFonts w:ascii="Times New Roman" w:hAnsi="Times New Roman" w:cs="Times New Roman"/>
          <w:color w:val="363745"/>
          <w:sz w:val="24"/>
          <w:szCs w:val="24"/>
        </w:rPr>
        <w:t>Paragraph 493 claims that the failure of armed Palestinian groups “to distinguish themselves from the civilian population by distinctive signs is not a violation of international law in itself.”  This is patently false.  The adoption of civilian dress is a</w:t>
      </w:r>
      <w:r w:rsidRPr="00DD7D1A">
        <w:rPr>
          <w:rStyle w:val="apple-converted-space"/>
          <w:rFonts w:ascii="Times New Roman" w:hAnsi="Times New Roman" w:cs="Times New Roman"/>
          <w:color w:val="363745"/>
          <w:sz w:val="24"/>
          <w:szCs w:val="24"/>
        </w:rPr>
        <w:t> </w:t>
      </w:r>
      <w:hyperlink r:id="rId19" w:tgtFrame="_blank" w:history="1">
        <w:r w:rsidRPr="00DD7D1A">
          <w:rPr>
            <w:rStyle w:val="Hyperlink"/>
            <w:rFonts w:ascii="Times New Roman" w:hAnsi="Times New Roman" w:cs="Times New Roman"/>
            <w:color w:val="6D6D7D"/>
            <w:sz w:val="24"/>
            <w:szCs w:val="24"/>
            <w:bdr w:val="none" w:sz="0" w:space="0" w:color="auto" w:frame="1"/>
          </w:rPr>
          <w:t>violation of the IHL obligation against perfidy</w:t>
        </w:r>
      </w:hyperlink>
      <w:r w:rsidRPr="00DD7D1A">
        <w:rPr>
          <w:rFonts w:ascii="Times New Roman" w:hAnsi="Times New Roman" w:cs="Times New Roman"/>
          <w:color w:val="363745"/>
          <w:sz w:val="24"/>
          <w:szCs w:val="24"/>
        </w:rPr>
        <w:t>.</w:t>
      </w:r>
    </w:p>
    <w:p w:rsidR="00DD7D1A" w:rsidRPr="00DD7D1A" w:rsidRDefault="00DD7D1A" w:rsidP="00DD7D1A">
      <w:pPr>
        <w:numPr>
          <w:ilvl w:val="0"/>
          <w:numId w:val="3"/>
        </w:numPr>
        <w:shd w:val="clear" w:color="auto" w:fill="FFFFFF"/>
        <w:spacing w:line="240" w:lineRule="auto"/>
        <w:ind w:left="0"/>
        <w:textAlignment w:val="baseline"/>
        <w:rPr>
          <w:rFonts w:ascii="Times New Roman" w:hAnsi="Times New Roman" w:cs="Times New Roman"/>
          <w:color w:val="363745"/>
          <w:sz w:val="24"/>
          <w:szCs w:val="24"/>
        </w:rPr>
      </w:pPr>
      <w:r w:rsidRPr="00DD7D1A">
        <w:rPr>
          <w:rFonts w:ascii="Times New Roman" w:hAnsi="Times New Roman" w:cs="Times New Roman"/>
          <w:color w:val="363745"/>
          <w:sz w:val="24"/>
          <w:szCs w:val="24"/>
        </w:rPr>
        <w:lastRenderedPageBreak/>
        <w:t>Despite all the evidence to the contrary, Goldstone’s report asserts that the “data provided by non-governmental sources with regard to the percentage of civilians among those killed are generally consistent …” (para. 30).  There is no such “consistency” — the numbers claimed by these organizations differ by the hundreds. Goldstone also fails to note the</w:t>
      </w:r>
      <w:r w:rsidRPr="00DD7D1A">
        <w:rPr>
          <w:rStyle w:val="apple-converted-space"/>
          <w:rFonts w:ascii="Times New Roman" w:hAnsi="Times New Roman" w:cs="Times New Roman"/>
          <w:color w:val="363745"/>
          <w:sz w:val="24"/>
          <w:szCs w:val="24"/>
        </w:rPr>
        <w:t> </w:t>
      </w:r>
      <w:hyperlink r:id="rId20" w:tgtFrame="_blank" w:history="1">
        <w:r w:rsidRPr="00DD7D1A">
          <w:rPr>
            <w:rStyle w:val="Hyperlink"/>
            <w:rFonts w:ascii="Times New Roman" w:hAnsi="Times New Roman" w:cs="Times New Roman"/>
            <w:color w:val="6D6D7D"/>
            <w:sz w:val="24"/>
            <w:szCs w:val="24"/>
            <w:bdr w:val="none" w:sz="0" w:space="0" w:color="auto" w:frame="1"/>
          </w:rPr>
          <w:t>major lack of credibility</w:t>
        </w:r>
      </w:hyperlink>
      <w:r w:rsidRPr="00DD7D1A">
        <w:rPr>
          <w:rStyle w:val="apple-converted-space"/>
          <w:rFonts w:ascii="Times New Roman" w:hAnsi="Times New Roman" w:cs="Times New Roman"/>
          <w:color w:val="363745"/>
          <w:sz w:val="24"/>
          <w:szCs w:val="24"/>
        </w:rPr>
        <w:t> </w:t>
      </w:r>
      <w:r w:rsidRPr="00DD7D1A">
        <w:rPr>
          <w:rFonts w:ascii="Times New Roman" w:hAnsi="Times New Roman" w:cs="Times New Roman"/>
          <w:color w:val="363745"/>
          <w:sz w:val="24"/>
          <w:szCs w:val="24"/>
        </w:rPr>
        <w:t xml:space="preserve">in PCHR’s data, such as characterizing two leading Hamas military figures, Nizar Rayan and </w:t>
      </w:r>
      <w:proofErr w:type="spellStart"/>
      <w:r w:rsidRPr="00DD7D1A">
        <w:rPr>
          <w:rFonts w:ascii="Times New Roman" w:hAnsi="Times New Roman" w:cs="Times New Roman"/>
          <w:color w:val="363745"/>
          <w:sz w:val="24"/>
          <w:szCs w:val="24"/>
        </w:rPr>
        <w:t>Siad</w:t>
      </w:r>
      <w:proofErr w:type="spellEnd"/>
      <w:r w:rsidRPr="00DD7D1A">
        <w:rPr>
          <w:rFonts w:ascii="Times New Roman" w:hAnsi="Times New Roman" w:cs="Times New Roman"/>
          <w:color w:val="363745"/>
          <w:sz w:val="24"/>
          <w:szCs w:val="24"/>
        </w:rPr>
        <w:t xml:space="preserve"> Siam, as civilians. And as researchers have shown, the </w:t>
      </w:r>
      <w:proofErr w:type="spellStart"/>
      <w:r w:rsidRPr="00DD7D1A">
        <w:rPr>
          <w:rFonts w:ascii="Times New Roman" w:hAnsi="Times New Roman" w:cs="Times New Roman"/>
          <w:color w:val="363745"/>
          <w:sz w:val="24"/>
          <w:szCs w:val="24"/>
        </w:rPr>
        <w:t>B’Tselem</w:t>
      </w:r>
      <w:proofErr w:type="spellEnd"/>
      <w:r w:rsidRPr="00DD7D1A">
        <w:rPr>
          <w:rFonts w:ascii="Times New Roman" w:hAnsi="Times New Roman" w:cs="Times New Roman"/>
          <w:color w:val="363745"/>
          <w:sz w:val="24"/>
          <w:szCs w:val="24"/>
        </w:rPr>
        <w:t xml:space="preserve"> data, while different from PCHR’s, is</w:t>
      </w:r>
      <w:r w:rsidRPr="00DD7D1A">
        <w:rPr>
          <w:rStyle w:val="apple-converted-space"/>
          <w:rFonts w:ascii="Times New Roman" w:hAnsi="Times New Roman" w:cs="Times New Roman"/>
          <w:color w:val="363745"/>
          <w:sz w:val="24"/>
          <w:szCs w:val="24"/>
        </w:rPr>
        <w:t> </w:t>
      </w:r>
      <w:hyperlink r:id="rId21" w:tgtFrame="_blank" w:history="1">
        <w:r w:rsidRPr="00DD7D1A">
          <w:rPr>
            <w:rStyle w:val="Hyperlink"/>
            <w:rFonts w:ascii="Times New Roman" w:hAnsi="Times New Roman" w:cs="Times New Roman"/>
            <w:color w:val="6D6D7D"/>
            <w:sz w:val="24"/>
            <w:szCs w:val="24"/>
            <w:bdr w:val="none" w:sz="0" w:space="0" w:color="auto" w:frame="1"/>
          </w:rPr>
          <w:t>also unreliable</w:t>
        </w:r>
      </w:hyperlink>
      <w:r w:rsidRPr="00DD7D1A">
        <w:rPr>
          <w:rFonts w:ascii="Times New Roman" w:hAnsi="Times New Roman" w:cs="Times New Roman"/>
          <w:color w:val="363745"/>
          <w:sz w:val="24"/>
          <w:szCs w:val="24"/>
        </w:rPr>
        <w:t>.</w:t>
      </w:r>
    </w:p>
    <w:p w:rsidR="008D61A0" w:rsidRPr="00DD7D1A" w:rsidRDefault="00DD7D1A" w:rsidP="00DD7D1A">
      <w:pPr>
        <w:numPr>
          <w:ilvl w:val="0"/>
          <w:numId w:val="3"/>
        </w:numPr>
        <w:shd w:val="clear" w:color="auto" w:fill="FFFFFF"/>
        <w:spacing w:line="240" w:lineRule="auto"/>
        <w:ind w:left="0"/>
        <w:textAlignment w:val="baseline"/>
        <w:rPr>
          <w:rFonts w:ascii="Times New Roman" w:hAnsi="Times New Roman" w:cs="Times New Roman"/>
          <w:color w:val="363745"/>
          <w:sz w:val="24"/>
          <w:szCs w:val="24"/>
        </w:rPr>
      </w:pPr>
      <w:r w:rsidRPr="00DD7D1A">
        <w:rPr>
          <w:rFonts w:ascii="Times New Roman" w:hAnsi="Times New Roman" w:cs="Times New Roman"/>
          <w:color w:val="363745"/>
          <w:sz w:val="24"/>
          <w:szCs w:val="24"/>
        </w:rPr>
        <w:t xml:space="preserve">Prior to the report’s release, Goldstone made several public statements that the Commission’s work was “not judicial. This is not a court.” (This claim was used to defend Prof. Christine </w:t>
      </w:r>
      <w:proofErr w:type="spellStart"/>
      <w:r w:rsidRPr="00DD7D1A">
        <w:rPr>
          <w:rFonts w:ascii="Times New Roman" w:hAnsi="Times New Roman" w:cs="Times New Roman"/>
          <w:color w:val="363745"/>
          <w:sz w:val="24"/>
          <w:szCs w:val="24"/>
        </w:rPr>
        <w:t>Chinkin’s</w:t>
      </w:r>
      <w:proofErr w:type="spellEnd"/>
      <w:r w:rsidRPr="00DD7D1A">
        <w:rPr>
          <w:rFonts w:ascii="Times New Roman" w:hAnsi="Times New Roman" w:cs="Times New Roman"/>
          <w:color w:val="363745"/>
          <w:sz w:val="24"/>
          <w:szCs w:val="24"/>
        </w:rPr>
        <w:t xml:space="preserve"> membership on the committee, who should have recused herself because of</w:t>
      </w:r>
      <w:r w:rsidRPr="00DD7D1A">
        <w:rPr>
          <w:rStyle w:val="apple-converted-space"/>
          <w:rFonts w:ascii="Times New Roman" w:hAnsi="Times New Roman" w:cs="Times New Roman"/>
          <w:color w:val="363745"/>
          <w:sz w:val="24"/>
          <w:szCs w:val="24"/>
        </w:rPr>
        <w:t> </w:t>
      </w:r>
      <w:hyperlink r:id="rId22" w:tgtFrame="_blank" w:history="1">
        <w:r w:rsidRPr="00DD7D1A">
          <w:rPr>
            <w:rStyle w:val="Hyperlink"/>
            <w:rFonts w:ascii="Times New Roman" w:hAnsi="Times New Roman" w:cs="Times New Roman"/>
            <w:color w:val="6D6D7D"/>
            <w:sz w:val="24"/>
            <w:szCs w:val="24"/>
            <w:bdr w:val="none" w:sz="0" w:space="0" w:color="auto" w:frame="1"/>
          </w:rPr>
          <w:t>prejudicial comments made during the war</w:t>
        </w:r>
      </w:hyperlink>
      <w:r w:rsidRPr="00DD7D1A">
        <w:rPr>
          <w:rFonts w:ascii="Times New Roman" w:hAnsi="Times New Roman" w:cs="Times New Roman"/>
          <w:color w:val="363745"/>
          <w:sz w:val="24"/>
          <w:szCs w:val="24"/>
        </w:rPr>
        <w:t>.)  In contrast, the report draws legal conclusions, asserting (without basis) that “the normative framework for the Mission has been general international law, the Charter of the United Nations, international humanitarian law, international human rights law and international criminal law” (para 15).  But these legal judgments are issued without any evidentiary procedures in place, including the right to cross-examination or guarantees of due process.</w:t>
      </w:r>
    </w:p>
    <w:sectPr w:rsidR="008D61A0" w:rsidRPr="00DD7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D39C6"/>
    <w:rsid w:val="001462EE"/>
    <w:rsid w:val="001524B8"/>
    <w:rsid w:val="001657F7"/>
    <w:rsid w:val="00200928"/>
    <w:rsid w:val="002071D4"/>
    <w:rsid w:val="002443C8"/>
    <w:rsid w:val="002C3ADB"/>
    <w:rsid w:val="002D6FF4"/>
    <w:rsid w:val="003716C6"/>
    <w:rsid w:val="003A3F86"/>
    <w:rsid w:val="003F1062"/>
    <w:rsid w:val="004835EF"/>
    <w:rsid w:val="005552EF"/>
    <w:rsid w:val="005B2D78"/>
    <w:rsid w:val="005F4C73"/>
    <w:rsid w:val="006755AF"/>
    <w:rsid w:val="006A26D2"/>
    <w:rsid w:val="006A5B80"/>
    <w:rsid w:val="00716D15"/>
    <w:rsid w:val="0077076B"/>
    <w:rsid w:val="007A2CB6"/>
    <w:rsid w:val="00853034"/>
    <w:rsid w:val="008A0F7A"/>
    <w:rsid w:val="008D61A0"/>
    <w:rsid w:val="00902E7D"/>
    <w:rsid w:val="00907553"/>
    <w:rsid w:val="00953158"/>
    <w:rsid w:val="009A65C1"/>
    <w:rsid w:val="009C7AD8"/>
    <w:rsid w:val="009E6623"/>
    <w:rsid w:val="00A04A6F"/>
    <w:rsid w:val="00AA2195"/>
    <w:rsid w:val="00B45FB4"/>
    <w:rsid w:val="00B658E7"/>
    <w:rsid w:val="00B953AC"/>
    <w:rsid w:val="00BB4E9C"/>
    <w:rsid w:val="00C4771F"/>
    <w:rsid w:val="00CA46C2"/>
    <w:rsid w:val="00CC211E"/>
    <w:rsid w:val="00CF537D"/>
    <w:rsid w:val="00D130C7"/>
    <w:rsid w:val="00D2060C"/>
    <w:rsid w:val="00D90B90"/>
    <w:rsid w:val="00DA1A14"/>
    <w:rsid w:val="00DD7D1A"/>
    <w:rsid w:val="00DF6661"/>
    <w:rsid w:val="00E10549"/>
    <w:rsid w:val="00E16A61"/>
    <w:rsid w:val="00F1097B"/>
    <w:rsid w:val="00F346ED"/>
    <w:rsid w:val="00F42285"/>
    <w:rsid w:val="00F80747"/>
    <w:rsid w:val="00F828E6"/>
    <w:rsid w:val="00F83BD7"/>
    <w:rsid w:val="00FB6515"/>
    <w:rsid w:val="00FC6562"/>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64771"/>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o-monitor.org/article/human_rights_watch_hrw_" TargetMode="External"/><Relationship Id="rId13" Type="http://schemas.openxmlformats.org/officeDocument/2006/relationships/hyperlink" Target="http://elderofziyon.blogspot.com/2009/09/goldstone-report-inaccuracies-part-6.html" TargetMode="External"/><Relationship Id="rId18" Type="http://schemas.openxmlformats.org/officeDocument/2006/relationships/hyperlink" Target="http://www.ngo-monitor.org/article/the_ngo_front_exploitation_of_international_law" TargetMode="External"/><Relationship Id="rId3" Type="http://schemas.openxmlformats.org/officeDocument/2006/relationships/settings" Target="settings.xml"/><Relationship Id="rId21" Type="http://schemas.openxmlformats.org/officeDocument/2006/relationships/hyperlink" Target="http://www.ngo-monitor.org/article.php?viewall=yes&amp;id=2638" TargetMode="External"/><Relationship Id="rId7" Type="http://schemas.openxmlformats.org/officeDocument/2006/relationships/hyperlink" Target="http://www.ngo-monitor.org/article/al_haq" TargetMode="External"/><Relationship Id="rId12" Type="http://schemas.openxmlformats.org/officeDocument/2006/relationships/hyperlink" Target="http://www.youtube.com/watch?v=v06GXYrCUnM" TargetMode="External"/><Relationship Id="rId17" Type="http://schemas.openxmlformats.org/officeDocument/2006/relationships/hyperlink" Target="http://www.jcpa.org/JCPA/Templates/ShowPage.asp?DRIT=1&amp;DBID=1&amp;LNGID=1&amp;TMID=111&amp;FID=442&amp;PID=0&amp;IID=3081&amp;TTL=Palestinian_%E2%80%9CPolicemen%E2%80%9D_Killed_in_Gaza_Operation_Were_Trained_Terrorists" TargetMode="External"/><Relationship Id="rId2" Type="http://schemas.openxmlformats.org/officeDocument/2006/relationships/styles" Target="styles.xml"/><Relationship Id="rId16" Type="http://schemas.openxmlformats.org/officeDocument/2006/relationships/hyperlink" Target="http://www.icrc.org/Web/Eng/siteeng0.nsf/html/israel" TargetMode="External"/><Relationship Id="rId20" Type="http://schemas.openxmlformats.org/officeDocument/2006/relationships/hyperlink" Target="http://www.ngo-monitor.org/article/b_tselem_and_pchr_reports_on_gaza_war_casualties_are_not_credible" TargetMode="External"/><Relationship Id="rId1" Type="http://schemas.openxmlformats.org/officeDocument/2006/relationships/numbering" Target="numbering.xml"/><Relationship Id="rId6" Type="http://schemas.openxmlformats.org/officeDocument/2006/relationships/hyperlink" Target="http://www.ngo-monitor.org/article/palestinian_center_for_human_rights_pchr_" TargetMode="External"/><Relationship Id="rId11" Type="http://schemas.openxmlformats.org/officeDocument/2006/relationships/hyperlink" Target="http://www.ngo-monitor.org/article/ngo_monitor_questions_on_hrw_s_gaza_rockets_report" TargetMode="External"/><Relationship Id="rId24" Type="http://schemas.openxmlformats.org/officeDocument/2006/relationships/theme" Target="theme/theme1.xml"/><Relationship Id="rId5" Type="http://schemas.openxmlformats.org/officeDocument/2006/relationships/hyperlink" Target="http://www2.ohchr.org/english/bodies/hrcouncil/specialsession/9/docs/UNFFMGC_Report.pdf" TargetMode="External"/><Relationship Id="rId15" Type="http://schemas.openxmlformats.org/officeDocument/2006/relationships/hyperlink" Target="http://209.85.129.132/search?q=cache:NDbrK04-u7oJ:www.icrc.org/Web/Eng/siteeng0.nsf/html/israel+autonomous+site:icrc.org&amp;cd=4&amp;hl=en&amp;ct=clnk&amp;gl=il" TargetMode="External"/><Relationship Id="rId23" Type="http://schemas.openxmlformats.org/officeDocument/2006/relationships/fontTable" Target="fontTable.xml"/><Relationship Id="rId10" Type="http://schemas.openxmlformats.org/officeDocument/2006/relationships/hyperlink" Target="http://www.ngo-monitor.org/article/ngo_forum_at_durban_conference_" TargetMode="External"/><Relationship Id="rId19" Type="http://schemas.openxmlformats.org/officeDocument/2006/relationships/hyperlink" Target="http://www.ngo-monitor.org/article/_pathological_politics_hrw_s_white_flags_report" TargetMode="External"/><Relationship Id="rId4" Type="http://schemas.openxmlformats.org/officeDocument/2006/relationships/webSettings" Target="webSettings.xml"/><Relationship Id="rId9" Type="http://schemas.openxmlformats.org/officeDocument/2006/relationships/hyperlink" Target="http://www.ngo-monitor.org/article/the_goldstone_gaza_fact_finding_committee_and_the_lund_london_guidelines_" TargetMode="External"/><Relationship Id="rId14" Type="http://schemas.openxmlformats.org/officeDocument/2006/relationships/hyperlink" Target="http://www.ngo-monitor.org/article/amnesty_international" TargetMode="External"/><Relationship Id="rId22" Type="http://schemas.openxmlformats.org/officeDocument/2006/relationships/hyperlink" Target="http://www.unwatch.org/site/apps/nlnet/content2.aspx?c=bdKKISNqEmG&amp;b=1330819&amp;ct=7311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2016-12-28T22:42:00Z</dcterms:created>
  <dcterms:modified xsi:type="dcterms:W3CDTF">2016-12-28T22:42:00Z</dcterms:modified>
</cp:coreProperties>
</file>