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2E" w:rsidRPr="008D512E" w:rsidRDefault="008D512E" w:rsidP="008D512E">
      <w:pPr>
        <w:pStyle w:val="Heading1"/>
        <w:spacing w:before="0" w:beforeAutospacing="0" w:after="0" w:afterAutospacing="0" w:line="216" w:lineRule="atLeast"/>
        <w:rPr>
          <w:b w:val="0"/>
          <w:sz w:val="40"/>
          <w:szCs w:val="40"/>
        </w:rPr>
      </w:pPr>
      <w:bookmarkStart w:id="0" w:name="_GoBack"/>
      <w:r w:rsidRPr="008D512E">
        <w:rPr>
          <w:b w:val="0"/>
          <w:sz w:val="40"/>
          <w:szCs w:val="40"/>
        </w:rPr>
        <w:t>Violating Law in the Name of Enforcing Law</w:t>
      </w:r>
    </w:p>
    <w:bookmarkEnd w:id="0"/>
    <w:p w:rsidR="008D512E" w:rsidRDefault="008D512E" w:rsidP="008D512E">
      <w:pPr>
        <w:spacing w:after="0" w:line="240" w:lineRule="auto"/>
        <w:rPr>
          <w:rFonts w:cs="Times New Roman"/>
          <w:szCs w:val="24"/>
        </w:rPr>
      </w:pPr>
    </w:p>
    <w:p w:rsidR="002711F6" w:rsidRPr="008D512E" w:rsidRDefault="008D512E" w:rsidP="008D512E">
      <w:pPr>
        <w:spacing w:after="0" w:line="240" w:lineRule="auto"/>
        <w:rPr>
          <w:rFonts w:cs="Times New Roman"/>
          <w:szCs w:val="24"/>
        </w:rPr>
      </w:pPr>
      <w:r w:rsidRPr="008D512E">
        <w:rPr>
          <w:rFonts w:cs="Times New Roman"/>
          <w:szCs w:val="24"/>
        </w:rPr>
        <w:t>February 14, 2020</w:t>
      </w:r>
    </w:p>
    <w:p w:rsidR="008D512E" w:rsidRPr="008D512E" w:rsidRDefault="008D512E" w:rsidP="008D512E">
      <w:pPr>
        <w:spacing w:after="0" w:line="240" w:lineRule="auto"/>
        <w:rPr>
          <w:rFonts w:cs="Times New Roman"/>
          <w:szCs w:val="24"/>
        </w:rPr>
      </w:pPr>
      <w:r w:rsidRPr="008D512E">
        <w:rPr>
          <w:rFonts w:cs="Times New Roman"/>
          <w:szCs w:val="24"/>
        </w:rPr>
        <w:t>By </w:t>
      </w:r>
      <w:hyperlink r:id="rId4" w:history="1">
        <w:r w:rsidRPr="008D512E">
          <w:rPr>
            <w:rStyle w:val="Hyperlink"/>
            <w:rFonts w:cs="Times New Roman"/>
            <w:color w:val="auto"/>
            <w:szCs w:val="24"/>
            <w:u w:val="none"/>
          </w:rPr>
          <w:t xml:space="preserve">Rachel E. </w:t>
        </w:r>
        <w:proofErr w:type="spellStart"/>
        <w:r w:rsidRPr="008D512E">
          <w:rPr>
            <w:rStyle w:val="Hyperlink"/>
            <w:rFonts w:cs="Times New Roman"/>
            <w:color w:val="auto"/>
            <w:szCs w:val="24"/>
            <w:u w:val="none"/>
          </w:rPr>
          <w:t>VanLandingham</w:t>
        </w:r>
        <w:proofErr w:type="spellEnd"/>
      </w:hyperlink>
      <w:r w:rsidRPr="008D512E">
        <w:rPr>
          <w:rFonts w:cs="Times New Roman"/>
          <w:szCs w:val="24"/>
        </w:rPr>
        <w:t> &amp; </w:t>
      </w:r>
      <w:hyperlink r:id="rId5" w:history="1">
        <w:r w:rsidRPr="008D512E">
          <w:rPr>
            <w:rStyle w:val="Hyperlink"/>
            <w:rFonts w:cs="Times New Roman"/>
            <w:color w:val="auto"/>
            <w:szCs w:val="24"/>
            <w:u w:val="none"/>
          </w:rPr>
          <w:t>Geoffrey S. Corn</w:t>
        </w:r>
      </w:hyperlink>
    </w:p>
    <w:p w:rsidR="008D512E" w:rsidRPr="008D512E" w:rsidRDefault="008D512E" w:rsidP="008D512E">
      <w:pPr>
        <w:spacing w:after="0" w:line="240" w:lineRule="auto"/>
        <w:rPr>
          <w:rFonts w:cs="Times New Roman"/>
          <w:szCs w:val="24"/>
        </w:rPr>
      </w:pPr>
      <w:r w:rsidRPr="008D512E">
        <w:rPr>
          <w:rFonts w:cs="Times New Roman"/>
          <w:szCs w:val="24"/>
        </w:rPr>
        <w:t>Real Clear Defense</w:t>
      </w:r>
    </w:p>
    <w:p w:rsidR="008D512E" w:rsidRPr="008D512E" w:rsidRDefault="008D512E" w:rsidP="008D512E">
      <w:pPr>
        <w:spacing w:after="0" w:line="240" w:lineRule="auto"/>
        <w:rPr>
          <w:rFonts w:cs="Times New Roman"/>
          <w:szCs w:val="24"/>
        </w:rPr>
      </w:pPr>
      <w:hyperlink r:id="rId6" w:history="1">
        <w:r w:rsidRPr="008D512E">
          <w:rPr>
            <w:rStyle w:val="Hyperlink"/>
            <w:rFonts w:cs="Times New Roman"/>
            <w:color w:val="auto"/>
            <w:szCs w:val="24"/>
          </w:rPr>
          <w:t>https://www.realcleardefense.com/articles/2020/02/14/what_happens_when_the_prosecutor_is_the_war_criminal_115043.html</w:t>
        </w:r>
      </w:hyperlink>
    </w:p>
    <w:p w:rsidR="008D512E" w:rsidRDefault="008D512E" w:rsidP="008D512E">
      <w:pPr>
        <w:rPr>
          <w:rFonts w:cs="Times New Roman"/>
          <w:szCs w:val="24"/>
        </w:rPr>
      </w:pPr>
    </w:p>
    <w:p w:rsidR="008D512E" w:rsidRPr="008D512E" w:rsidRDefault="008D512E" w:rsidP="008D512E">
      <w:pPr>
        <w:rPr>
          <w:rFonts w:cs="Times New Roman"/>
          <w:szCs w:val="24"/>
        </w:rPr>
      </w:pPr>
      <w:r w:rsidRPr="008D512E">
        <w:rPr>
          <w:rFonts w:cs="Times New Roman"/>
          <w:szCs w:val="24"/>
        </w:rPr>
        <w:t xml:space="preserve">The ICC prosecutor’s recommendation to prosecute Israeli and Palestinians for war crimes allegedly committed in Gaza and the West Bank distorts international law and undermines the purpose of the ICC. </w:t>
      </w:r>
    </w:p>
    <w:p w:rsidR="008D512E" w:rsidRPr="008D512E" w:rsidRDefault="008D512E" w:rsidP="008D512E">
      <w:pPr>
        <w:rPr>
          <w:rFonts w:cs="Times New Roman"/>
          <w:szCs w:val="24"/>
        </w:rPr>
      </w:pPr>
    </w:p>
    <w:p w:rsidR="008D512E" w:rsidRPr="008D512E" w:rsidRDefault="008D512E" w:rsidP="008D512E">
      <w:pPr>
        <w:rPr>
          <w:rFonts w:cs="Times New Roman"/>
          <w:szCs w:val="24"/>
        </w:rPr>
      </w:pPr>
      <w:r w:rsidRPr="008D512E">
        <w:rPr>
          <w:rFonts w:cs="Times New Roman"/>
          <w:szCs w:val="24"/>
        </w:rPr>
        <w:t>The prosecutor for the International Criminal Court (ICC) is exploiting the largely unlimited power of her office. Her recent decision to recommend that Israelis face international prosecution for alleged war crimes, besides constituting an abuse of her discretion, will reverberate far beyond the Middle East, and should be highly unsettling to all nations with professional militaries who strive to follow the law.</w:t>
      </w:r>
    </w:p>
    <w:p w:rsidR="008D512E" w:rsidRPr="008D512E" w:rsidRDefault="008D512E" w:rsidP="008D512E">
      <w:pPr>
        <w:rPr>
          <w:rFonts w:cs="Times New Roman"/>
          <w:szCs w:val="24"/>
        </w:rPr>
      </w:pPr>
    </w:p>
    <w:p w:rsidR="008D512E" w:rsidRPr="008D512E" w:rsidRDefault="008D512E" w:rsidP="008D512E">
      <w:pPr>
        <w:rPr>
          <w:rFonts w:cs="Times New Roman"/>
          <w:szCs w:val="24"/>
        </w:rPr>
      </w:pPr>
      <w:r w:rsidRPr="008D512E">
        <w:rPr>
          <w:rFonts w:cs="Times New Roman"/>
          <w:szCs w:val="24"/>
        </w:rPr>
        <w:t xml:space="preserve">Both Israel and the United States refused to join this international court because of the concern (now validated) of prosecutorial abuse of discretion. Ironically the United States was an early and strong proponent of a permanent international tribunal. The need to provide an international backstop against blatant impunity for the worst of the worst war criminals – most notably when their governments were unable or unwilling to impose such accountability – motivated this support. </w:t>
      </w:r>
    </w:p>
    <w:p w:rsidR="008D512E" w:rsidRPr="008D512E" w:rsidRDefault="008D512E" w:rsidP="008D512E">
      <w:pPr>
        <w:rPr>
          <w:rFonts w:cs="Times New Roman"/>
          <w:szCs w:val="24"/>
        </w:rPr>
      </w:pPr>
    </w:p>
    <w:p w:rsidR="008D512E" w:rsidRPr="008D512E" w:rsidRDefault="008D512E" w:rsidP="008D512E">
      <w:pPr>
        <w:rPr>
          <w:rFonts w:cs="Times New Roman"/>
          <w:szCs w:val="24"/>
        </w:rPr>
      </w:pPr>
      <w:r w:rsidRPr="008D512E">
        <w:rPr>
          <w:rFonts w:cs="Times New Roman"/>
          <w:szCs w:val="24"/>
        </w:rPr>
        <w:t>This conception of limited ICC jurisdiction is baked into the Rome Statute, which provides that states, not the ICC, shoulder the primary responsibility for ensuring accountability. Accordingly, the ICC jurisdiction should be invoked only when there is a credible basis to conclude that the relevant member state is unable or unwilling to pursue meaningful accountability efforts. Nonetheless, the U.S. ultimately concluded the court’s foundational treaty, the Rome Statute, vested too much power to the prosecutor to decide when domestic accountability efforts are insufficient. This created a risk the ICC Prosecutor would pursue ICC prosecution even after the state’s investigatory and disciplinary response satisfied high standards of credibility, thereby transforming the ICC from a backstop tribunal to the primary war crimes prosecution venue.</w:t>
      </w:r>
    </w:p>
    <w:p w:rsidR="008D512E" w:rsidRPr="008D512E" w:rsidRDefault="008D512E" w:rsidP="008D512E">
      <w:pPr>
        <w:rPr>
          <w:rFonts w:cs="Times New Roman"/>
          <w:szCs w:val="24"/>
        </w:rPr>
      </w:pPr>
    </w:p>
    <w:p w:rsidR="008D512E" w:rsidRPr="008D512E" w:rsidRDefault="008D512E" w:rsidP="008D512E">
      <w:pPr>
        <w:rPr>
          <w:rFonts w:cs="Times New Roman"/>
          <w:szCs w:val="24"/>
        </w:rPr>
      </w:pPr>
      <w:r w:rsidRPr="008D512E">
        <w:rPr>
          <w:rFonts w:cs="Times New Roman"/>
          <w:szCs w:val="24"/>
        </w:rPr>
        <w:t xml:space="preserve">This concern is now playing out. Because the ICC charter's prosecutorial obligation to defer to credible domestic criminal systems lacks any real enforcement mechanism, the current prosecutor can easily claim she legitimately invoked the Court's jurisdiction. But the objective </w:t>
      </w:r>
      <w:r w:rsidRPr="008D512E">
        <w:rPr>
          <w:rFonts w:cs="Times New Roman"/>
          <w:szCs w:val="24"/>
        </w:rPr>
        <w:lastRenderedPageBreak/>
        <w:t>facts indicate otherwise. The U.S., and especially ICC member states, should, therefore, be deeply disturbed by this assertion of jurisdiction – because if the Israeli military and civilian criminal justice system is assessed as sufficiently defective to justify ICC jurisdiction, it is difficult to imagine what system would be deemed "good enough."</w:t>
      </w:r>
    </w:p>
    <w:p w:rsidR="008D512E" w:rsidRPr="008D512E" w:rsidRDefault="008D512E" w:rsidP="008D512E">
      <w:pPr>
        <w:rPr>
          <w:rFonts w:cs="Times New Roman"/>
          <w:szCs w:val="24"/>
        </w:rPr>
      </w:pPr>
    </w:p>
    <w:p w:rsidR="008D512E" w:rsidRPr="008D512E" w:rsidRDefault="008D512E" w:rsidP="008D512E">
      <w:pPr>
        <w:rPr>
          <w:rFonts w:cs="Times New Roman"/>
          <w:szCs w:val="24"/>
        </w:rPr>
      </w:pPr>
      <w:r w:rsidRPr="008D512E">
        <w:rPr>
          <w:rFonts w:cs="Times New Roman"/>
          <w:szCs w:val="24"/>
        </w:rPr>
        <w:t xml:space="preserve">There is really no credible basis for concluding that Israel's internal accountability systems are so defective that international intervention is necessary. Indeed, in some ways, these systems may be more effective than the U.S. counterpart, given that Israeli military commanders do not have the final say on who gets prosecuted (not to mention that its head of state isn't in the practice of pardoning convicted war criminals).  </w:t>
      </w:r>
    </w:p>
    <w:p w:rsidR="008D512E" w:rsidRPr="008D512E" w:rsidRDefault="008D512E" w:rsidP="008D512E">
      <w:pPr>
        <w:rPr>
          <w:rFonts w:cs="Times New Roman"/>
          <w:szCs w:val="24"/>
        </w:rPr>
      </w:pPr>
    </w:p>
    <w:p w:rsidR="008D512E" w:rsidRPr="008D512E" w:rsidRDefault="008D512E" w:rsidP="008D512E">
      <w:pPr>
        <w:rPr>
          <w:rFonts w:cs="Times New Roman"/>
          <w:szCs w:val="24"/>
        </w:rPr>
      </w:pPr>
      <w:r w:rsidRPr="008D512E">
        <w:rPr>
          <w:rFonts w:cs="Times New Roman"/>
          <w:szCs w:val="24"/>
        </w:rPr>
        <w:t xml:space="preserve">Dismissing the credibility of Israel’s internal accountability </w:t>
      </w:r>
      <w:proofErr w:type="gramStart"/>
      <w:r w:rsidRPr="008D512E">
        <w:rPr>
          <w:rFonts w:cs="Times New Roman"/>
          <w:szCs w:val="24"/>
        </w:rPr>
        <w:t>systems  –</w:t>
      </w:r>
      <w:proofErr w:type="gramEnd"/>
      <w:r w:rsidRPr="008D512E">
        <w:rPr>
          <w:rFonts w:cs="Times New Roman"/>
          <w:szCs w:val="24"/>
        </w:rPr>
        <w:t xml:space="preserve"> systems the ICC’s own charter ostensibly prizes – not only indicates prosecutorial abuse. The assertion that there is credible evidence that Israeli military personnel committed serious war crimes during conflict in Gaza also reflects either a troubling misunderstanding or deliberate distortion of the law of armed conflict, one that reinforces a flawed methodology in assessing international law compliance during combat operations.</w:t>
      </w:r>
    </w:p>
    <w:p w:rsidR="008D512E" w:rsidRPr="008D512E" w:rsidRDefault="008D512E" w:rsidP="008D512E">
      <w:pPr>
        <w:rPr>
          <w:rFonts w:cs="Times New Roman"/>
          <w:szCs w:val="24"/>
        </w:rPr>
      </w:pPr>
    </w:p>
    <w:p w:rsidR="008D512E" w:rsidRPr="008D512E" w:rsidRDefault="008D512E" w:rsidP="008D512E">
      <w:pPr>
        <w:rPr>
          <w:rFonts w:cs="Times New Roman"/>
          <w:szCs w:val="24"/>
        </w:rPr>
      </w:pPr>
      <w:r w:rsidRPr="008D512E">
        <w:rPr>
          <w:rFonts w:cs="Times New Roman"/>
          <w:szCs w:val="24"/>
        </w:rPr>
        <w:t>The Prosecutor’s conclusion seems to be primarily “effects-based”, one based on the assumption that the deadly and destructive consequences of combat operations ipso facto indicate the commission of war crimes. This is inconsistent with the type of careful and deliberate evidence assessment expected of any prosecutor entrusted with the discretion to allege war crimes. This is why all professional armed forces should be troubled that the Prosecutor appears to assume that the destructive effects of combat provide prima facie indications of war crimes. Combat effects alone rarely provide sufficient evidentiary significance to justify aggressive assertions of international war crimes jurisdiction. Instead, the critical inquiry is why, under the circumstances prevailing at the time, those effects were produced. That is an extremely complex question to answer and one that depends on information within the hands of those conducting the attack. While attack effects are certainly probative of legal compliance, they are rarely dispositive.</w:t>
      </w:r>
    </w:p>
    <w:p w:rsidR="008D512E" w:rsidRPr="008D512E" w:rsidRDefault="008D512E" w:rsidP="008D512E">
      <w:pPr>
        <w:rPr>
          <w:rFonts w:cs="Times New Roman"/>
          <w:szCs w:val="24"/>
        </w:rPr>
      </w:pPr>
    </w:p>
    <w:p w:rsidR="008D512E" w:rsidRPr="008D512E" w:rsidRDefault="008D512E" w:rsidP="008D512E">
      <w:pPr>
        <w:rPr>
          <w:rFonts w:cs="Times New Roman"/>
          <w:szCs w:val="24"/>
        </w:rPr>
      </w:pPr>
      <w:r w:rsidRPr="008D512E">
        <w:rPr>
          <w:rFonts w:cs="Times New Roman"/>
          <w:szCs w:val="24"/>
        </w:rPr>
        <w:t xml:space="preserve">Nonetheless, after receiving extensive access to IDF information during her preliminary investigation – information that almost certainly revealed the intensely complex nature of the battlefield judgments and the extensive efforts implemented by the IDF to ensure LOAC compliance – the Prosecutor still decided that there was enough evidence to justify alleging war crimes. While the Prosecutor may not like the legal framework she is obligated to apply to determine criminality, she is not free to simply ignore it.  Bluntly put, the law tolerates incidental injury and destruction during hostilities, and demands of decision-makers not that their attack judgments are always perfect, but that they are reasonable. By that touchstone, it is difficult to </w:t>
      </w:r>
      <w:r w:rsidRPr="008D512E">
        <w:rPr>
          <w:rFonts w:cs="Times New Roman"/>
          <w:szCs w:val="24"/>
        </w:rPr>
        <w:lastRenderedPageBreak/>
        <w:t xml:space="preserve">understand the conclusion that evidence justifies invoking the extraordinary jurisdiction of the ICC. </w:t>
      </w:r>
    </w:p>
    <w:p w:rsidR="008D512E" w:rsidRPr="008D512E" w:rsidRDefault="008D512E" w:rsidP="008D512E">
      <w:pPr>
        <w:rPr>
          <w:rFonts w:cs="Times New Roman"/>
          <w:szCs w:val="24"/>
        </w:rPr>
      </w:pPr>
    </w:p>
    <w:p w:rsidR="008D512E" w:rsidRPr="008D512E" w:rsidRDefault="008D512E" w:rsidP="008D512E">
      <w:pPr>
        <w:rPr>
          <w:rFonts w:cs="Times New Roman"/>
          <w:szCs w:val="24"/>
        </w:rPr>
      </w:pPr>
      <w:r w:rsidRPr="008D512E">
        <w:rPr>
          <w:rFonts w:cs="Times New Roman"/>
          <w:szCs w:val="24"/>
        </w:rPr>
        <w:t>This jurisdictional precedent for invoking supra-national criminal court is disturbing. The armed forces of both ICC states and others, like the U.S., may find themselves facing ICC indictment even when the evidence of a violation is dubious and when their internal military disciplinary and criminal accountability process is credible. Invoking jurisdiction in such situations reflects a usurpation of what the Rome Statute indicates is a primary state responsibility, even more troubling, when that invocation of jurisdiction involves complex battlefield decisions with all their inherent uncertainty based on the invalid assumption that attack effects provide sufficient evidence of criminality.</w:t>
      </w:r>
    </w:p>
    <w:p w:rsidR="008D512E" w:rsidRPr="008D512E" w:rsidRDefault="008D512E" w:rsidP="008D512E">
      <w:pPr>
        <w:rPr>
          <w:rFonts w:cs="Times New Roman"/>
          <w:szCs w:val="24"/>
        </w:rPr>
      </w:pPr>
    </w:p>
    <w:p w:rsidR="008D512E" w:rsidRPr="008D512E" w:rsidRDefault="008D512E" w:rsidP="008D512E">
      <w:pPr>
        <w:rPr>
          <w:rFonts w:cs="Times New Roman"/>
          <w:szCs w:val="24"/>
        </w:rPr>
      </w:pPr>
      <w:r w:rsidRPr="008D512E">
        <w:rPr>
          <w:rFonts w:cs="Times New Roman"/>
          <w:szCs w:val="24"/>
        </w:rPr>
        <w:t>Finally, this was all made possible only because the Prosecutor not only decided Palestine was a State, but its precise borders. Her summary resolution of this intractable issue – one that has defied diplomatic resolution for decades – reflects the extent of her willingness to stretch the discretion of her office to unjustifiable lengths. This is why other nations, to include ICC member States, should be deeply concerned about this development.</w:t>
      </w:r>
    </w:p>
    <w:sectPr w:rsidR="008D512E" w:rsidRPr="008D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2E"/>
    <w:rsid w:val="007733EE"/>
    <w:rsid w:val="008D512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072F"/>
  <w15:chartTrackingRefBased/>
  <w15:docId w15:val="{59F244C2-8CD3-4514-A8F0-7AF3D355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D512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12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512E"/>
    <w:rPr>
      <w:color w:val="0000FF"/>
      <w:u w:val="single"/>
    </w:rPr>
  </w:style>
  <w:style w:type="character" w:customStyle="1" w:styleId="and">
    <w:name w:val="and"/>
    <w:basedOn w:val="DefaultParagraphFont"/>
    <w:rsid w:val="008D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44002">
      <w:bodyDiv w:val="1"/>
      <w:marLeft w:val="0"/>
      <w:marRight w:val="0"/>
      <w:marTop w:val="0"/>
      <w:marBottom w:val="0"/>
      <w:divBdr>
        <w:top w:val="none" w:sz="0" w:space="0" w:color="auto"/>
        <w:left w:val="none" w:sz="0" w:space="0" w:color="auto"/>
        <w:bottom w:val="none" w:sz="0" w:space="0" w:color="auto"/>
        <w:right w:val="none" w:sz="0" w:space="0" w:color="auto"/>
      </w:divBdr>
    </w:div>
    <w:div w:id="14990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lcleardefense.com/articles/2020/02/14/what_happens_when_the_prosecutor_is_the_war_criminal_115043.html" TargetMode="External"/><Relationship Id="rId5" Type="http://schemas.openxmlformats.org/officeDocument/2006/relationships/hyperlink" Target="https://www.realcleardefense.com/authors/geoffrey_s_corn/" TargetMode="External"/><Relationship Id="rId4" Type="http://schemas.openxmlformats.org/officeDocument/2006/relationships/hyperlink" Target="https://www.realcleardefense.com/authors/rachel_e_vanland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2020-02-17T17:29:00Z</dcterms:created>
  <dcterms:modified xsi:type="dcterms:W3CDTF">2020-02-17T17:31:00Z</dcterms:modified>
</cp:coreProperties>
</file>