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3041C" w14:textId="77777777" w:rsidR="00AC38D5" w:rsidRPr="00AC38D5" w:rsidRDefault="00AC38D5" w:rsidP="00AC38D5">
      <w:pPr>
        <w:shd w:val="clear" w:color="auto" w:fill="FFFFFF"/>
        <w:spacing w:before="100" w:beforeAutospacing="1" w:after="100" w:afterAutospacing="1" w:line="240" w:lineRule="auto"/>
        <w:textAlignment w:val="baseline"/>
        <w:outlineLvl w:val="0"/>
        <w:rPr>
          <w:rFonts w:eastAsia="Times New Roman" w:cs="Times New Roman"/>
          <w:bCs/>
          <w:color w:val="000000"/>
          <w:spacing w:val="-2"/>
          <w:kern w:val="36"/>
          <w:sz w:val="40"/>
          <w:szCs w:val="40"/>
        </w:rPr>
      </w:pPr>
      <w:bookmarkStart w:id="0" w:name="_GoBack"/>
      <w:r w:rsidRPr="00AC38D5">
        <w:rPr>
          <w:rFonts w:eastAsia="Times New Roman" w:cs="Times New Roman"/>
          <w:bCs/>
          <w:color w:val="000000"/>
          <w:spacing w:val="-2"/>
          <w:kern w:val="36"/>
          <w:sz w:val="40"/>
          <w:szCs w:val="40"/>
        </w:rPr>
        <w:t>New proof that it was Hamas — not Israel — that committed war crimes last May</w:t>
      </w:r>
    </w:p>
    <w:bookmarkEnd w:id="0"/>
    <w:p w14:paraId="2681A913" w14:textId="77777777" w:rsidR="002711F6" w:rsidRPr="00AC38D5" w:rsidRDefault="00AC38D5" w:rsidP="00AC38D5">
      <w:pPr>
        <w:spacing w:after="0" w:line="240" w:lineRule="auto"/>
        <w:rPr>
          <w:rFonts w:cs="Times New Roman"/>
        </w:rPr>
      </w:pPr>
      <w:r w:rsidRPr="00AC38D5">
        <w:rPr>
          <w:rFonts w:cs="Times New Roman"/>
        </w:rPr>
        <w:t>November 12, 2021</w:t>
      </w:r>
    </w:p>
    <w:p w14:paraId="573FFDF7" w14:textId="77777777" w:rsidR="00AC38D5" w:rsidRPr="00AC38D5" w:rsidRDefault="00AC38D5" w:rsidP="00AC38D5">
      <w:pPr>
        <w:spacing w:after="0" w:line="240" w:lineRule="auto"/>
        <w:rPr>
          <w:rFonts w:cs="Times New Roman"/>
        </w:rPr>
      </w:pPr>
      <w:r w:rsidRPr="00AC38D5">
        <w:rPr>
          <w:rFonts w:cs="Times New Roman"/>
        </w:rPr>
        <w:t>By </w:t>
      </w:r>
      <w:hyperlink r:id="rId5" w:history="1">
        <w:r w:rsidRPr="00AC38D5">
          <w:rPr>
            <w:rStyle w:val="Hyperlink"/>
            <w:rFonts w:cs="Times New Roman"/>
          </w:rPr>
          <w:t>Geoffrey Corn</w:t>
        </w:r>
      </w:hyperlink>
      <w:r w:rsidRPr="00AC38D5">
        <w:rPr>
          <w:rFonts w:cs="Times New Roman"/>
        </w:rPr>
        <w:t xml:space="preserve"> and </w:t>
      </w:r>
      <w:hyperlink r:id="rId6" w:history="1">
        <w:r w:rsidRPr="00AC38D5">
          <w:rPr>
            <w:rStyle w:val="Hyperlink"/>
            <w:rFonts w:cs="Times New Roman"/>
          </w:rPr>
          <w:t xml:space="preserve">Richard </w:t>
        </w:r>
        <w:proofErr w:type="spellStart"/>
        <w:r w:rsidRPr="00AC38D5">
          <w:rPr>
            <w:rStyle w:val="Hyperlink"/>
            <w:rFonts w:cs="Times New Roman"/>
          </w:rPr>
          <w:t>Natonski</w:t>
        </w:r>
        <w:proofErr w:type="spellEnd"/>
      </w:hyperlink>
    </w:p>
    <w:p w14:paraId="4CFED22F" w14:textId="77777777" w:rsidR="00AC38D5" w:rsidRPr="00AC38D5" w:rsidRDefault="00AC38D5" w:rsidP="00AC38D5">
      <w:pPr>
        <w:spacing w:after="0" w:line="240" w:lineRule="auto"/>
        <w:rPr>
          <w:rFonts w:cs="Times New Roman"/>
          <w:bCs/>
        </w:rPr>
      </w:pPr>
      <w:r w:rsidRPr="00AC38D5">
        <w:rPr>
          <w:rFonts w:cs="Times New Roman"/>
          <w:bCs/>
        </w:rPr>
        <w:t>The New York Post</w:t>
      </w:r>
    </w:p>
    <w:p w14:paraId="66D22CAA" w14:textId="77777777" w:rsidR="00AC38D5" w:rsidRPr="00AC38D5" w:rsidRDefault="00AC38D5" w:rsidP="00AC38D5">
      <w:pPr>
        <w:spacing w:after="0" w:line="240" w:lineRule="auto"/>
        <w:rPr>
          <w:rFonts w:cs="Times New Roman"/>
        </w:rPr>
      </w:pPr>
      <w:hyperlink r:id="rId7" w:history="1">
        <w:r w:rsidRPr="00AC38D5">
          <w:rPr>
            <w:rStyle w:val="Hyperlink"/>
            <w:rFonts w:cs="Times New Roman"/>
          </w:rPr>
          <w:t>https://nypost.com/2021/11/12/new-proof-that-it-was-hamas-not-israel-that-committed-war-crimes-last-may/</w:t>
        </w:r>
      </w:hyperlink>
    </w:p>
    <w:p w14:paraId="28085C90"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In its conflict with Hamas in May, Israel endured a barrage of rockets — as well as war-crime accusations. Iron Dome intercepted most of the former. The latter are more dangerous, for Israel and even the United States.</w:t>
      </w:r>
    </w:p>
    <w:p w14:paraId="63D3BBE1" w14:textId="77777777" w:rsidR="00AC38D5" w:rsidRPr="00AC38D5" w:rsidRDefault="00AC38D5" w:rsidP="00AC38D5">
      <w:pPr>
        <w:pStyle w:val="NormalWeb"/>
        <w:shd w:val="clear" w:color="auto" w:fill="FFFFFF"/>
        <w:spacing w:before="0" w:after="0"/>
        <w:textAlignment w:val="baseline"/>
        <w:rPr>
          <w:color w:val="2A2A2A"/>
          <w:spacing w:val="-2"/>
        </w:rPr>
      </w:pPr>
      <w:r w:rsidRPr="00AC38D5">
        <w:rPr>
          <w:color w:val="2A2A2A"/>
          <w:spacing w:val="-2"/>
        </w:rPr>
        <w:t>After reviewing the Israeli Defense Forces’ operations during the Gaza conflict as retired senior US military officers, </w:t>
      </w:r>
      <w:hyperlink r:id="rId8" w:tgtFrame="_blank" w:history="1">
        <w:r w:rsidRPr="00AC38D5">
          <w:rPr>
            <w:rStyle w:val="Hyperlink"/>
            <w:color w:val="C60800"/>
            <w:spacing w:val="-2"/>
            <w:u w:val="none"/>
            <w:bdr w:val="none" w:sz="0" w:space="0" w:color="auto" w:frame="1"/>
          </w:rPr>
          <w:t>we find these accusations spurious</w:t>
        </w:r>
      </w:hyperlink>
      <w:r w:rsidRPr="00AC38D5">
        <w:rPr>
          <w:color w:val="2A2A2A"/>
          <w:spacing w:val="-2"/>
        </w:rPr>
        <w:t> — fed by Hamas’ disinformation and a widespread misunderstanding of the Law of Armed Conflict, or LOAC. These dynamics could soon feature in conflicts involving the US military.</w:t>
      </w:r>
    </w:p>
    <w:p w14:paraId="4CDB9016"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Delegitimizing Israeli operations — not military victory — was one of Hamas’ main objectives in this conflict. “The real crimes,” Hamas’ spokesperson told the media, “were committed by [Israel] targeting civilians … killing more than 100 children and women and demolishing buildings.”</w:t>
      </w:r>
    </w:p>
    <w:p w14:paraId="1E3384AB" w14:textId="77777777" w:rsidR="00AC38D5" w:rsidRPr="00AC38D5" w:rsidRDefault="00AC38D5" w:rsidP="00AC38D5">
      <w:pPr>
        <w:pStyle w:val="NormalWeb"/>
        <w:shd w:val="clear" w:color="auto" w:fill="FFFFFF"/>
        <w:spacing w:before="0" w:after="0"/>
        <w:textAlignment w:val="baseline"/>
        <w:rPr>
          <w:color w:val="2A2A2A"/>
          <w:spacing w:val="-2"/>
        </w:rPr>
      </w:pPr>
      <w:r w:rsidRPr="00AC38D5">
        <w:rPr>
          <w:color w:val="2A2A2A"/>
          <w:spacing w:val="-2"/>
        </w:rPr>
        <w:t>With such false claims, Hamas casts any civilian casualty as illegal. Unfortunately, many in the media and public </w:t>
      </w:r>
      <w:hyperlink r:id="rId9" w:history="1">
        <w:r w:rsidRPr="00AC38D5">
          <w:rPr>
            <w:rStyle w:val="Hyperlink"/>
            <w:color w:val="C60800"/>
            <w:spacing w:val="-2"/>
            <w:u w:val="none"/>
            <w:bdr w:val="none" w:sz="0" w:space="0" w:color="auto" w:frame="1"/>
          </w:rPr>
          <w:t>embraced this false narrative</w:t>
        </w:r>
      </w:hyperlink>
      <w:r w:rsidRPr="00AC38D5">
        <w:rPr>
          <w:color w:val="2A2A2A"/>
          <w:spacing w:val="-2"/>
        </w:rPr>
        <w:t>.</w:t>
      </w:r>
    </w:p>
    <w:p w14:paraId="39756472"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“Destroying a civilian residence sure seems like a war crime,” comedian John Oliver opined on his show. Seeming like a war crime and being one are quite different.</w:t>
      </w:r>
    </w:p>
    <w:p w14:paraId="679B3876"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LOAC requires militaries to distinguish between — and only attack — military, not civilian, targets. Commanders are obliged to make a good-faith effort to take all feasible precautions to mitigate civilian risk.</w:t>
      </w:r>
    </w:p>
    <w:p w14:paraId="48D1F8E8"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These rules do not preclude unavoidable civilian casualties. It is a sad but undeniable reality of war that international law tolerates harm to civilians if </w:t>
      </w:r>
      <w:proofErr w:type="gramStart"/>
      <w:r w:rsidRPr="00AC38D5">
        <w:rPr>
          <w:color w:val="2A2A2A"/>
          <w:spacing w:val="-2"/>
        </w:rPr>
        <w:t>it’s</w:t>
      </w:r>
      <w:proofErr w:type="gramEnd"/>
      <w:r w:rsidRPr="00AC38D5">
        <w:rPr>
          <w:color w:val="2A2A2A"/>
          <w:spacing w:val="-2"/>
        </w:rPr>
        <w:t xml:space="preserve"> not deliberately inflicted, caused by indiscriminate attacks and avoidable with feasible precautions.</w:t>
      </w:r>
    </w:p>
    <w:p w14:paraId="3A46C7A7"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In our professional opinion, Israeli actions in Gaza reflected a consistent and </w:t>
      </w:r>
      <w:proofErr w:type="gramStart"/>
      <w:r w:rsidRPr="00AC38D5">
        <w:rPr>
          <w:color w:val="2A2A2A"/>
          <w:spacing w:val="-2"/>
        </w:rPr>
        <w:t>good-faith</w:t>
      </w:r>
      <w:proofErr w:type="gramEnd"/>
      <w:r w:rsidRPr="00AC38D5">
        <w:rPr>
          <w:color w:val="2A2A2A"/>
          <w:spacing w:val="-2"/>
        </w:rPr>
        <w:t xml:space="preserve"> commitment to respect and implement these LOAC principles.</w:t>
      </w:r>
    </w:p>
    <w:p w14:paraId="486636AC"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IDF military legal advisers vetted all proposed targets. Its commanders took all feasible precautionary measures, at times implementing more than the law required as a matter of policy. The IDF dropped leaflets, placed phone calls and sent text messages warning Gazan civilians in advance of airstrikes.</w:t>
      </w:r>
    </w:p>
    <w:p w14:paraId="144C38A2"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lastRenderedPageBreak/>
        <w:t>Small “knock on the roof” munitions delivered further warning. We saw footage of the IDF waiting for civilians to clear a building — and of commanders calling off strikes when they did not.</w:t>
      </w:r>
    </w:p>
    <w:p w14:paraId="4B2551A7"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These precautions came at a cost. They often allowed enemy fighters to escape. They also tied up Israeli aircraft, reducing the number of targets that </w:t>
      </w:r>
      <w:proofErr w:type="gramStart"/>
      <w:r w:rsidRPr="00AC38D5">
        <w:rPr>
          <w:color w:val="2A2A2A"/>
          <w:spacing w:val="-2"/>
        </w:rPr>
        <w:t>could be monitored or struck</w:t>
      </w:r>
      <w:proofErr w:type="gramEnd"/>
      <w:r w:rsidRPr="00AC38D5">
        <w:rPr>
          <w:color w:val="2A2A2A"/>
          <w:spacing w:val="-2"/>
        </w:rPr>
        <w:t>. The IDF accepted these costs because of its commitment to protecting civilians.</w:t>
      </w:r>
    </w:p>
    <w:p w14:paraId="71BA5359" w14:textId="77777777" w:rsidR="00AC38D5" w:rsidRPr="00AC38D5" w:rsidRDefault="00AC38D5" w:rsidP="00AC38D5">
      <w:pPr>
        <w:pStyle w:val="NormalWeb"/>
        <w:shd w:val="clear" w:color="auto" w:fill="FFFFFF"/>
        <w:spacing w:before="0" w:after="0"/>
        <w:textAlignment w:val="baseline"/>
        <w:rPr>
          <w:color w:val="2A2A2A"/>
          <w:spacing w:val="-2"/>
        </w:rPr>
      </w:pPr>
      <w:r w:rsidRPr="00AC38D5">
        <w:rPr>
          <w:color w:val="2A2A2A"/>
          <w:spacing w:val="-2"/>
        </w:rPr>
        <w:t xml:space="preserve">The same </w:t>
      </w:r>
      <w:proofErr w:type="gramStart"/>
      <w:r w:rsidRPr="00AC38D5">
        <w:rPr>
          <w:color w:val="2A2A2A"/>
          <w:spacing w:val="-2"/>
        </w:rPr>
        <w:t>can’t</w:t>
      </w:r>
      <w:proofErr w:type="gramEnd"/>
      <w:r w:rsidRPr="00AC38D5">
        <w:rPr>
          <w:color w:val="2A2A2A"/>
          <w:spacing w:val="-2"/>
        </w:rPr>
        <w:t xml:space="preserve"> be said of Hamas. It deliberately targeted Israeli civilians. Even when ostensibly attacking military targets, </w:t>
      </w:r>
      <w:hyperlink r:id="rId10" w:history="1">
        <w:r w:rsidRPr="00AC38D5">
          <w:rPr>
            <w:rStyle w:val="Hyperlink"/>
            <w:color w:val="C60800"/>
            <w:spacing w:val="-2"/>
            <w:u w:val="none"/>
            <w:bdr w:val="none" w:sz="0" w:space="0" w:color="auto" w:frame="1"/>
          </w:rPr>
          <w:t>it routinely did so indiscriminately</w:t>
        </w:r>
      </w:hyperlink>
      <w:r w:rsidRPr="00AC38D5">
        <w:rPr>
          <w:color w:val="2A2A2A"/>
          <w:spacing w:val="-2"/>
        </w:rPr>
        <w:t>. It exploited Gazan civilians as human shields, deliberately locating its military assets — including rocket launchers, mortars, command posts and military tunnels — in civilian areas when other options were available. This is all compelling evidence of LOAC violations.</w:t>
      </w:r>
    </w:p>
    <w:p w14:paraId="141C7BD0"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This was an intentional, and integral, part of Hamas’ strategy. Putting Gazans in harm’s way made it harder for the IDF to strike Hamas targets while complying with LOAC. It also created the potential for civilian casualties that </w:t>
      </w:r>
      <w:proofErr w:type="gramStart"/>
      <w:r w:rsidRPr="00AC38D5">
        <w:rPr>
          <w:color w:val="2A2A2A"/>
          <w:spacing w:val="-2"/>
        </w:rPr>
        <w:t>could be leveraged</w:t>
      </w:r>
      <w:proofErr w:type="gramEnd"/>
      <w:r w:rsidRPr="00AC38D5">
        <w:rPr>
          <w:color w:val="2A2A2A"/>
          <w:spacing w:val="-2"/>
        </w:rPr>
        <w:t xml:space="preserve"> to accuse Israel of LOAC violations.</w:t>
      </w:r>
    </w:p>
    <w:p w14:paraId="23C6A56B"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We fear America’s enemies could similarly delegitimize future US operations. Chinese officials have already spread false images of supposed Australian war crimes. US troops could be next.</w:t>
      </w:r>
    </w:p>
    <w:p w14:paraId="16C4BEF5"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Attempts at good messaging were not enough to confront such disinformation. Israel tried communicating its good intentions to the public during the conflict but </w:t>
      </w:r>
      <w:proofErr w:type="gramStart"/>
      <w:r w:rsidRPr="00AC38D5">
        <w:rPr>
          <w:color w:val="2A2A2A"/>
          <w:spacing w:val="-2"/>
        </w:rPr>
        <w:t>was unfairly accused</w:t>
      </w:r>
      <w:proofErr w:type="gramEnd"/>
      <w:r w:rsidRPr="00AC38D5">
        <w:rPr>
          <w:color w:val="2A2A2A"/>
          <w:spacing w:val="-2"/>
        </w:rPr>
        <w:t xml:space="preserve"> nonetheless. It could certainly have been better. Yet we heard a lingering resignation among Israelis that nothing they do could overcome the rush to condemnation reserved for Israel. This is truly unfortunate.</w:t>
      </w:r>
    </w:p>
    <w:p w14:paraId="14DE829E"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Averting similar feelings of futility among US and allied forces is vitally important, lest they dilute the commitment to the law that separates us from our war criminals.</w:t>
      </w:r>
    </w:p>
    <w:p w14:paraId="3745910F" w14:textId="77777777" w:rsidR="00AC38D5" w:rsidRPr="00AC38D5" w:rsidRDefault="00AC38D5" w:rsidP="00AC38D5">
      <w:pPr>
        <w:pStyle w:val="NormalWeb"/>
        <w:shd w:val="clear" w:color="auto" w:fill="FFFFFF"/>
        <w:textAlignment w:val="baseline"/>
        <w:rPr>
          <w:color w:val="2A2A2A"/>
          <w:spacing w:val="-2"/>
        </w:rPr>
      </w:pPr>
      <w:r w:rsidRPr="00AC38D5">
        <w:rPr>
          <w:color w:val="2A2A2A"/>
          <w:spacing w:val="-2"/>
        </w:rPr>
        <w:t xml:space="preserve">We cannot cede the information domain to our adversaries. </w:t>
      </w:r>
      <w:proofErr w:type="gramStart"/>
      <w:r w:rsidRPr="00AC38D5">
        <w:rPr>
          <w:color w:val="2A2A2A"/>
          <w:spacing w:val="-2"/>
        </w:rPr>
        <w:t>Or</w:t>
      </w:r>
      <w:proofErr w:type="gramEnd"/>
      <w:r w:rsidRPr="00AC38D5">
        <w:rPr>
          <w:color w:val="2A2A2A"/>
          <w:spacing w:val="-2"/>
        </w:rPr>
        <w:t xml:space="preserve"> let unfounded legal accusations go unanswered. The United States must consistently and unapologetically stand up for our law-abiding partners, like Israel, and ensure a genuine appreciation of the complex application of law to war.</w:t>
      </w:r>
    </w:p>
    <w:p w14:paraId="02DAC5FE" w14:textId="77777777" w:rsidR="00AC38D5" w:rsidRPr="00AC38D5" w:rsidRDefault="00AC38D5">
      <w:pPr>
        <w:rPr>
          <w:rFonts w:cs="Times New Roman"/>
        </w:rPr>
      </w:pPr>
    </w:p>
    <w:sectPr w:rsidR="00AC38D5" w:rsidRPr="00AC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0C1A"/>
    <w:multiLevelType w:val="multilevel"/>
    <w:tmpl w:val="F5AA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D5"/>
    <w:rsid w:val="007733EE"/>
    <w:rsid w:val="00877E19"/>
    <w:rsid w:val="00A86523"/>
    <w:rsid w:val="00AC38D5"/>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B355"/>
  <w15:chartTrackingRefBased/>
  <w15:docId w15:val="{31AB7A35-7CCB-49E7-8C91-3A4F541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AC38D5"/>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AC38D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D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C38D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C38D5"/>
    <w:rPr>
      <w:color w:val="0563C1" w:themeColor="hyperlink"/>
      <w:u w:val="single"/>
    </w:rPr>
  </w:style>
  <w:style w:type="paragraph" w:styleId="NormalWeb">
    <w:name w:val="Normal (Web)"/>
    <w:basedOn w:val="Normal"/>
    <w:uiPriority w:val="99"/>
    <w:semiHidden/>
    <w:unhideWhenUsed/>
    <w:rsid w:val="00AC38D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571370">
      <w:bodyDiv w:val="1"/>
      <w:marLeft w:val="0"/>
      <w:marRight w:val="0"/>
      <w:marTop w:val="0"/>
      <w:marBottom w:val="0"/>
      <w:divBdr>
        <w:top w:val="none" w:sz="0" w:space="0" w:color="auto"/>
        <w:left w:val="none" w:sz="0" w:space="0" w:color="auto"/>
        <w:bottom w:val="none" w:sz="0" w:space="0" w:color="auto"/>
        <w:right w:val="none" w:sz="0" w:space="0" w:color="auto"/>
      </w:divBdr>
      <w:divsChild>
        <w:div w:id="272832433">
          <w:marLeft w:val="0"/>
          <w:marRight w:val="0"/>
          <w:marTop w:val="0"/>
          <w:marBottom w:val="0"/>
          <w:divBdr>
            <w:top w:val="none" w:sz="0" w:space="0" w:color="auto"/>
            <w:left w:val="none" w:sz="0" w:space="0" w:color="auto"/>
            <w:bottom w:val="none" w:sz="0" w:space="0" w:color="auto"/>
            <w:right w:val="none" w:sz="0" w:space="0" w:color="auto"/>
          </w:divBdr>
        </w:div>
        <w:div w:id="782069906">
          <w:marLeft w:val="0"/>
          <w:marRight w:val="0"/>
          <w:marTop w:val="0"/>
          <w:marBottom w:val="0"/>
          <w:divBdr>
            <w:top w:val="none" w:sz="0" w:space="0" w:color="auto"/>
            <w:left w:val="none" w:sz="0" w:space="0" w:color="auto"/>
            <w:bottom w:val="none" w:sz="0" w:space="0" w:color="auto"/>
            <w:right w:val="none" w:sz="0" w:space="0" w:color="auto"/>
          </w:divBdr>
          <w:divsChild>
            <w:div w:id="373238685">
              <w:marLeft w:val="0"/>
              <w:marRight w:val="0"/>
              <w:marTop w:val="0"/>
              <w:marBottom w:val="0"/>
              <w:divBdr>
                <w:top w:val="none" w:sz="0" w:space="0" w:color="auto"/>
                <w:left w:val="none" w:sz="0" w:space="0" w:color="auto"/>
                <w:bottom w:val="none" w:sz="0" w:space="0" w:color="auto"/>
                <w:right w:val="none" w:sz="0" w:space="0" w:color="auto"/>
              </w:divBdr>
              <w:divsChild>
                <w:div w:id="1094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5252">
      <w:bodyDiv w:val="1"/>
      <w:marLeft w:val="0"/>
      <w:marRight w:val="0"/>
      <w:marTop w:val="0"/>
      <w:marBottom w:val="0"/>
      <w:divBdr>
        <w:top w:val="none" w:sz="0" w:space="0" w:color="auto"/>
        <w:left w:val="none" w:sz="0" w:space="0" w:color="auto"/>
        <w:bottom w:val="none" w:sz="0" w:space="0" w:color="auto"/>
        <w:right w:val="none" w:sz="0" w:space="0" w:color="auto"/>
      </w:divBdr>
    </w:div>
    <w:div w:id="1162699154">
      <w:bodyDiv w:val="1"/>
      <w:marLeft w:val="0"/>
      <w:marRight w:val="0"/>
      <w:marTop w:val="0"/>
      <w:marBottom w:val="0"/>
      <w:divBdr>
        <w:top w:val="none" w:sz="0" w:space="0" w:color="auto"/>
        <w:left w:val="none" w:sz="0" w:space="0" w:color="auto"/>
        <w:bottom w:val="none" w:sz="0" w:space="0" w:color="auto"/>
        <w:right w:val="none" w:sz="0" w:space="0" w:color="auto"/>
      </w:divBdr>
      <w:divsChild>
        <w:div w:id="1509127542">
          <w:marLeft w:val="0"/>
          <w:marRight w:val="0"/>
          <w:marTop w:val="0"/>
          <w:marBottom w:val="0"/>
          <w:divBdr>
            <w:top w:val="none" w:sz="0" w:space="0" w:color="auto"/>
            <w:left w:val="none" w:sz="0" w:space="0" w:color="auto"/>
            <w:bottom w:val="none" w:sz="0" w:space="0" w:color="auto"/>
            <w:right w:val="none" w:sz="0" w:space="0" w:color="auto"/>
          </w:divBdr>
        </w:div>
        <w:div w:id="301807765">
          <w:marLeft w:val="0"/>
          <w:marRight w:val="0"/>
          <w:marTop w:val="0"/>
          <w:marBottom w:val="0"/>
          <w:divBdr>
            <w:top w:val="none" w:sz="0" w:space="0" w:color="auto"/>
            <w:left w:val="none" w:sz="0" w:space="0" w:color="auto"/>
            <w:bottom w:val="none" w:sz="0" w:space="0" w:color="auto"/>
            <w:right w:val="none" w:sz="0" w:space="0" w:color="auto"/>
          </w:divBdr>
          <w:divsChild>
            <w:div w:id="1573731306">
              <w:marLeft w:val="0"/>
              <w:marRight w:val="0"/>
              <w:marTop w:val="0"/>
              <w:marBottom w:val="0"/>
              <w:divBdr>
                <w:top w:val="none" w:sz="0" w:space="0" w:color="auto"/>
                <w:left w:val="none" w:sz="0" w:space="0" w:color="auto"/>
                <w:bottom w:val="none" w:sz="0" w:space="0" w:color="auto"/>
                <w:right w:val="none" w:sz="0" w:space="0" w:color="auto"/>
              </w:divBdr>
              <w:divsChild>
                <w:div w:id="1228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59516">
      <w:bodyDiv w:val="1"/>
      <w:marLeft w:val="0"/>
      <w:marRight w:val="0"/>
      <w:marTop w:val="0"/>
      <w:marBottom w:val="0"/>
      <w:divBdr>
        <w:top w:val="none" w:sz="0" w:space="0" w:color="auto"/>
        <w:left w:val="none" w:sz="0" w:space="0" w:color="auto"/>
        <w:bottom w:val="none" w:sz="0" w:space="0" w:color="auto"/>
        <w:right w:val="none" w:sz="0" w:space="0" w:color="auto"/>
      </w:divBdr>
    </w:div>
    <w:div w:id="1844778266">
      <w:bodyDiv w:val="1"/>
      <w:marLeft w:val="0"/>
      <w:marRight w:val="0"/>
      <w:marTop w:val="0"/>
      <w:marBottom w:val="0"/>
      <w:divBdr>
        <w:top w:val="none" w:sz="0" w:space="0" w:color="auto"/>
        <w:left w:val="none" w:sz="0" w:space="0" w:color="auto"/>
        <w:bottom w:val="none" w:sz="0" w:space="0" w:color="auto"/>
        <w:right w:val="none" w:sz="0" w:space="0" w:color="auto"/>
      </w:divBdr>
    </w:div>
    <w:div w:id="20281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nsa.org/jinsa_event/jinsa-gaza-conflict-2021-assessment-report-release/" TargetMode="External"/><Relationship Id="rId3" Type="http://schemas.openxmlformats.org/officeDocument/2006/relationships/settings" Target="settings.xml"/><Relationship Id="rId7" Type="http://schemas.openxmlformats.org/officeDocument/2006/relationships/hyperlink" Target="https://nypost.com/2021/11/12/new-proof-that-it-was-hamas-not-israel-that-committed-war-crimes-last-m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ypost.com/2021/11/12/new-proof-that-it-was-hamas-not-israel-that-committed-war-crimes-last-may/" TargetMode="External"/><Relationship Id="rId11" Type="http://schemas.openxmlformats.org/officeDocument/2006/relationships/fontTable" Target="fontTable.xml"/><Relationship Id="rId5" Type="http://schemas.openxmlformats.org/officeDocument/2006/relationships/hyperlink" Target="https://nypost.com/2021/11/12/new-proof-that-it-was-hamas-not-israel-that-committed-war-crimes-last-may/" TargetMode="External"/><Relationship Id="rId10" Type="http://schemas.openxmlformats.org/officeDocument/2006/relationships/hyperlink" Target="https://nypost.com/2021/05/18/israel-hamas-trade-fire-in-gaza-as-palestinians-go-on-strike/" TargetMode="External"/><Relationship Id="rId4" Type="http://schemas.openxmlformats.org/officeDocument/2006/relationships/webSettings" Target="webSettings.xml"/><Relationship Id="rId9" Type="http://schemas.openxmlformats.org/officeDocument/2006/relationships/hyperlink" Target="https://nypost.com/2021/05/17/press-lies-about-whats-happening-between-israel-and-ga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2021-12-14T19:38:00Z</dcterms:created>
  <dcterms:modified xsi:type="dcterms:W3CDTF">2021-12-14T19:41:00Z</dcterms:modified>
</cp:coreProperties>
</file>